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auto"/>
          <w:lang w:val="en-US" w:eastAsia="zh-CN"/>
        </w:rPr>
        <w:t>附件1：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培训方案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一、组织机构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主办单位：中国总会计师协会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联合主办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单位：中国总会计师协会信息化分会</w:t>
      </w:r>
    </w:p>
    <w:p>
      <w:pPr>
        <w:widowControl/>
        <w:ind w:firstLine="2700" w:firstLineChars="9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北京东方财苑文化发展有限公司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二、时间与地点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时间：202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年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日-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日（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日报到）。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地点：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山东省济南市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三、培训对象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企业总经理、总会计师、财务部部长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财务资金管理部门和财务公司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负责人等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四、课程内容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国资委政策解读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司库体系建设的重要意义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司库体系建设的总体要求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智慧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司库核心数智能力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全球资金可视能力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金融资源可控能力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风险管控预警能力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智能决策分析能力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智慧司库的数字化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建设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方案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全球资金池建设方案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智慧司库建设路径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风险防控体系建设方案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司库金融数据资产治理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智慧司库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的运营管理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高效支持基础交易稳步运行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合理统筹内外部金融资源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挖掘数据价值，提供智能化的运营支持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（五）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财务共享与智慧司库深度融合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“共享＋司库”管理模式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智能共享及智慧司库流程再造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业财资一体化的财务数字化转型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央企智慧司库标杆企业实践案例分享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（七）企业现场参观交流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五、培训师资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由政府机关、学院、企业界等具有深厚理论功底和丰富实践经验的专家与教授组成。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六、收费标准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培训费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2980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元/人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包括专家授课费、资料费、教学场租设备费等）。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食宿统一安排、费用自理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交通费用自理。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  <w:lang w:val="en-US" w:eastAsia="zh-CN"/>
        </w:rPr>
        <w:t>七、培训证书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参训学员完成规定课程,可在培训班结束后登录中国总会计师协会官网（www.cacfo.com），进入“培训工作”或“公共服务”栏目,点击“培训证书”,输入本人“姓名+手机号+身份证号”,即可下载打印电子《培训结业证书》。</w:t>
      </w:r>
    </w:p>
    <w:p>
      <w:pPr>
        <w:widowControl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auto"/>
        </w:rPr>
        <w:t>八、联系方式</w:t>
      </w:r>
    </w:p>
    <w:p>
      <w:pPr>
        <w:widowControl/>
        <w:ind w:firstLine="600" w:firstLineChars="200"/>
        <w:rPr>
          <w:rFonts w:hint="eastAsia" w:ascii="仿宋" w:hAnsi="仿宋" w:eastAsia="仿宋" w:cs="仿宋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 xml:space="preserve">姜老师：010-86390878   18201477229（同微信）  </w:t>
      </w:r>
    </w:p>
    <w:p>
      <w:pPr>
        <w:widowControl/>
        <w:ind w:firstLine="600" w:firstLineChars="200"/>
        <w:rPr>
          <w:rFonts w:hint="default" w:ascii="仿宋" w:hAnsi="仿宋" w:eastAsia="仿宋" w:cs="仿宋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010-88191889（中总协培训部）</w:t>
      </w:r>
    </w:p>
    <w:p>
      <w:pPr>
        <w:widowControl/>
        <w:ind w:firstLine="600" w:firstLineChars="200"/>
        <w:rPr>
          <w:rFonts w:hint="eastAsia" w:ascii="仿宋" w:hAnsi="仿宋" w:eastAsia="仿宋" w:cs="仿宋"/>
          <w:b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邮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</w:rPr>
        <w:t>箱：itcacfo@163.co</w:t>
      </w:r>
      <w:r>
        <w:rPr>
          <w:rFonts w:hint="eastAsia" w:ascii="仿宋" w:hAnsi="仿宋" w:eastAsia="仿宋" w:cs="仿宋"/>
          <w:sz w:val="30"/>
          <w:szCs w:val="30"/>
          <w:shd w:val="clear" w:color="auto" w:fill="auto"/>
          <w:lang w:val="en-US" w:eastAsia="zh-CN"/>
        </w:rPr>
        <w:t>m</w:t>
      </w: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z w:val="30"/>
          <w:szCs w:val="30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z w:val="30"/>
          <w:szCs w:val="30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</w:p>
    <w:p>
      <w:pPr>
        <w:pStyle w:val="4"/>
        <w:spacing w:before="48"/>
        <w:ind w:left="140"/>
        <w:jc w:val="center"/>
        <w:rPr>
          <w:rFonts w:hint="eastAsia" w:ascii="仿宋" w:hAnsi="仿宋" w:eastAsia="仿宋" w:cs="仿宋"/>
          <w:b/>
          <w:bCs w:val="0"/>
          <w:spacing w:val="-2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9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93" w:lineRule="auto"/>
        <w:ind w:right="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433E6"/>
    <w:rsid w:val="00124405"/>
    <w:rsid w:val="002433E6"/>
    <w:rsid w:val="0026193C"/>
    <w:rsid w:val="003958BC"/>
    <w:rsid w:val="007A2A81"/>
    <w:rsid w:val="00974B5B"/>
    <w:rsid w:val="009A0FD6"/>
    <w:rsid w:val="00A60545"/>
    <w:rsid w:val="00A86EEE"/>
    <w:rsid w:val="00AA1A48"/>
    <w:rsid w:val="00D41520"/>
    <w:rsid w:val="00DB7AF0"/>
    <w:rsid w:val="00E80279"/>
    <w:rsid w:val="00F371F8"/>
    <w:rsid w:val="02922DB8"/>
    <w:rsid w:val="02EA5E1C"/>
    <w:rsid w:val="05442297"/>
    <w:rsid w:val="08B144D2"/>
    <w:rsid w:val="09BD69D4"/>
    <w:rsid w:val="0B457704"/>
    <w:rsid w:val="0BF02E6D"/>
    <w:rsid w:val="0C4C26A1"/>
    <w:rsid w:val="0CB12EE1"/>
    <w:rsid w:val="0D9535C7"/>
    <w:rsid w:val="0E475C83"/>
    <w:rsid w:val="11EC6F87"/>
    <w:rsid w:val="128402A7"/>
    <w:rsid w:val="12860225"/>
    <w:rsid w:val="135136CC"/>
    <w:rsid w:val="13767FD3"/>
    <w:rsid w:val="144D5B54"/>
    <w:rsid w:val="14E92A57"/>
    <w:rsid w:val="169F4775"/>
    <w:rsid w:val="18422604"/>
    <w:rsid w:val="18881EFB"/>
    <w:rsid w:val="18DD14F2"/>
    <w:rsid w:val="18DE49AB"/>
    <w:rsid w:val="1ABC7C60"/>
    <w:rsid w:val="1F105078"/>
    <w:rsid w:val="205D0798"/>
    <w:rsid w:val="26114FDD"/>
    <w:rsid w:val="27427F2B"/>
    <w:rsid w:val="275859A0"/>
    <w:rsid w:val="2875197B"/>
    <w:rsid w:val="29A47811"/>
    <w:rsid w:val="2D842CE3"/>
    <w:rsid w:val="2E6E2BAF"/>
    <w:rsid w:val="32673855"/>
    <w:rsid w:val="340F7536"/>
    <w:rsid w:val="34895B74"/>
    <w:rsid w:val="353019A2"/>
    <w:rsid w:val="37077C07"/>
    <w:rsid w:val="3A926428"/>
    <w:rsid w:val="3DEC2919"/>
    <w:rsid w:val="44337033"/>
    <w:rsid w:val="44B529AB"/>
    <w:rsid w:val="450B1085"/>
    <w:rsid w:val="46DA3BE9"/>
    <w:rsid w:val="4AF0228D"/>
    <w:rsid w:val="4CDA36DE"/>
    <w:rsid w:val="4E523021"/>
    <w:rsid w:val="4FF64365"/>
    <w:rsid w:val="530E708A"/>
    <w:rsid w:val="54300FEA"/>
    <w:rsid w:val="55150D0C"/>
    <w:rsid w:val="55AD42CC"/>
    <w:rsid w:val="56476B3C"/>
    <w:rsid w:val="5765038F"/>
    <w:rsid w:val="578C38E3"/>
    <w:rsid w:val="5843512C"/>
    <w:rsid w:val="5BFD3F44"/>
    <w:rsid w:val="5DAA3753"/>
    <w:rsid w:val="601856F8"/>
    <w:rsid w:val="608B0163"/>
    <w:rsid w:val="61110DB5"/>
    <w:rsid w:val="620B5B69"/>
    <w:rsid w:val="63692903"/>
    <w:rsid w:val="63F5220B"/>
    <w:rsid w:val="674249B9"/>
    <w:rsid w:val="67D06491"/>
    <w:rsid w:val="6950695B"/>
    <w:rsid w:val="6C772F11"/>
    <w:rsid w:val="6D46787C"/>
    <w:rsid w:val="6E0E1A5F"/>
    <w:rsid w:val="70B974CB"/>
    <w:rsid w:val="71EC028A"/>
    <w:rsid w:val="72B16347"/>
    <w:rsid w:val="763C5112"/>
    <w:rsid w:val="76990985"/>
    <w:rsid w:val="77273262"/>
    <w:rsid w:val="77FE0A3B"/>
    <w:rsid w:val="7FB65AEA"/>
    <w:rsid w:val="7FCC6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5"/>
    <w:autoRedefine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before="113" w:beforeLines="0" w:afterLines="0"/>
      <w:ind w:left="720"/>
    </w:pPr>
    <w:rPr>
      <w:rFonts w:hint="eastAsia" w:ascii="Calibri" w:hAnsi="Calibri" w:eastAsia="宋体" w:cs="Times New Roman"/>
      <w:sz w:val="26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仿宋" w:hAnsi="仿宋" w:eastAsia="仿宋" w:cs="仿宋"/>
    </w:rPr>
  </w:style>
  <w:style w:type="character" w:customStyle="1" w:styleId="14">
    <w:name w:val="标题 3 Char"/>
    <w:basedOn w:val="10"/>
    <w:link w:val="2"/>
    <w:autoRedefine/>
    <w:qFormat/>
    <w:uiPriority w:val="0"/>
    <w:rPr>
      <w:rFonts w:ascii="宋体" w:hAnsi="宋体"/>
      <w:b/>
      <w:bCs/>
      <w:sz w:val="27"/>
      <w:szCs w:val="27"/>
    </w:rPr>
  </w:style>
  <w:style w:type="character" w:customStyle="1" w:styleId="15">
    <w:name w:val="标题 4 Char"/>
    <w:basedOn w:val="10"/>
    <w:link w:val="3"/>
    <w:autoRedefine/>
    <w:qFormat/>
    <w:uiPriority w:val="0"/>
    <w:rPr>
      <w:rFonts w:ascii="宋体" w:hAnsi="宋体"/>
      <w:b/>
      <w:bCs/>
      <w:sz w:val="24"/>
      <w:szCs w:val="24"/>
    </w:rPr>
  </w:style>
  <w:style w:type="character" w:customStyle="1" w:styleId="16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7">
    <w:name w:val="NormalCharacter"/>
    <w:autoRedefine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1317</Words>
  <Characters>1423</Characters>
  <Lines>13</Lines>
  <Paragraphs>3</Paragraphs>
  <TotalTime>4</TotalTime>
  <ScaleCrop>false</ScaleCrop>
  <LinksUpToDate>false</LinksUpToDate>
  <CharactersWithSpaces>1490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2022-04-14T05:31:00Z</dcterms:created>
  <dc:creator>86155</dc:creator>
  <cp:lastModifiedBy>peixu</cp:lastModifiedBy>
  <dcterms:modified xsi:type="dcterms:W3CDTF">2024-03-11T03:37:50Z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A6261338E8FF4CA79390E299C7E33E75_13</vt:lpwstr>
  </property>
</Properties>
</file>