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pacing w:line="560" w:lineRule="exac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附件2：</w:t>
      </w:r>
    </w:p>
    <w:p>
      <w:pPr>
        <w:keepNext w:val="0"/>
        <w:keepLines w:val="0"/>
        <w:pageBreakBefore w:val="0"/>
        <w:widowControl w:val="0"/>
        <w:kinsoku/>
        <w:wordWrap/>
        <w:overflowPunct/>
        <w:topLinePunct w:val="0"/>
        <w:autoSpaceDE/>
        <w:autoSpaceDN/>
        <w:bidi w:val="0"/>
        <w:adjustRightInd/>
        <w:snapToGrid w:val="0"/>
        <w:spacing w:line="560" w:lineRule="exact"/>
        <w:ind w:firstLine="307" w:firstLineChars="100"/>
        <w:textAlignment w:val="auto"/>
        <w:rPr>
          <w:rFonts w:hint="eastAsia" w:ascii="仿宋" w:hAnsi="仿宋" w:eastAsia="仿宋" w:cs="仿宋"/>
          <w:b/>
          <w:color w:val="auto"/>
          <w:spacing w:val="0"/>
          <w:kern w:val="0"/>
          <w:sz w:val="30"/>
          <w:szCs w:val="30"/>
        </w:rPr>
      </w:pPr>
      <w:r>
        <w:rPr>
          <w:rFonts w:hint="eastAsia" w:ascii="仿宋" w:hAnsi="仿宋" w:eastAsia="仿宋" w:cs="仿宋"/>
          <w:b/>
          <w:color w:val="auto"/>
          <w:spacing w:val="0"/>
          <w:kern w:val="0"/>
          <w:sz w:val="30"/>
          <w:szCs w:val="30"/>
        </w:rPr>
        <w:t>新时代财务管理人员实务操作与素质提升系列培训班专题介绍</w:t>
      </w:r>
    </w:p>
    <w:p>
      <w:pPr>
        <w:keepNext w:val="0"/>
        <w:keepLines w:val="0"/>
        <w:pageBreakBefore w:val="0"/>
        <w:widowControl w:val="0"/>
        <w:kinsoku/>
        <w:wordWrap/>
        <w:overflowPunct/>
        <w:topLinePunct w:val="0"/>
        <w:autoSpaceDE/>
        <w:autoSpaceDN/>
        <w:bidi w:val="0"/>
        <w:adjustRightInd/>
        <w:snapToGrid w:val="0"/>
        <w:spacing w:line="560" w:lineRule="exact"/>
        <w:ind w:firstLine="307" w:firstLineChars="100"/>
        <w:textAlignment w:val="auto"/>
        <w:rPr>
          <w:rFonts w:hint="eastAsia" w:ascii="仿宋" w:hAnsi="仿宋" w:eastAsia="仿宋" w:cs="仿宋"/>
          <w:b/>
          <w:color w:val="auto"/>
          <w:spacing w:val="0"/>
          <w:ker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bCs/>
          <w:color w:val="auto"/>
          <w:spacing w:val="0"/>
          <w:sz w:val="30"/>
          <w:szCs w:val="30"/>
        </w:rPr>
      </w:pPr>
      <w:r>
        <w:rPr>
          <w:rFonts w:hint="eastAsia" w:ascii="黑体" w:hAnsi="黑体" w:eastAsia="黑体" w:cs="黑体"/>
          <w:b/>
          <w:bCs/>
          <w:color w:val="auto"/>
          <w:spacing w:val="0"/>
          <w:sz w:val="30"/>
          <w:szCs w:val="30"/>
        </w:rPr>
        <w:t>专题一：成本分析与管理决策</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专题介绍：</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企业要适应瞬息万变的外部市场环境，取得持续性的竞争优势，企业就必须把重点放到制订竞争战略上来，而传统的成本管理却经常把眼光局限在单纯降低成本上。传统的成本会计不能如实反馈真实情况，会导致决策错误。因为传统成本会计的衡量标准不正确，就会导致决策不正确，进而导致公司的行动不正确，最终导致公司赔钱。本</w:t>
      </w:r>
      <w:r>
        <w:rPr>
          <w:rFonts w:hint="eastAsia" w:ascii="仿宋" w:hAnsi="仿宋" w:eastAsia="仿宋" w:cs="仿宋"/>
          <w:bCs/>
          <w:color w:val="auto"/>
          <w:spacing w:val="0"/>
          <w:kern w:val="1"/>
          <w:sz w:val="30"/>
          <w:szCs w:val="30"/>
          <w:lang w:val="en-US" w:eastAsia="zh-CN"/>
        </w:rPr>
        <w:t>专题</w:t>
      </w:r>
      <w:r>
        <w:rPr>
          <w:rFonts w:hint="eastAsia" w:ascii="仿宋" w:hAnsi="仿宋" w:eastAsia="仿宋" w:cs="仿宋"/>
          <w:bCs/>
          <w:color w:val="auto"/>
          <w:spacing w:val="0"/>
          <w:kern w:val="1"/>
          <w:sz w:val="30"/>
          <w:szCs w:val="30"/>
        </w:rPr>
        <w:t>引入了以产出为导向的制约理论和有效产出会计（TOC/TA），将有助于学员站在更高的立足点上把握现代管理会计思想内核，启迪管理决策的新思路。</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课程内容：</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 xml:space="preserve">战略成本管理概况及案例应用 </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业财融合思维下的管理会计架构设计</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 xml:space="preserve">管理会计体系的构成 </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供应链成本管理</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约束理论与有效产出会计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bCs/>
          <w:color w:val="auto"/>
          <w:spacing w:val="0"/>
          <w:sz w:val="30"/>
          <w:szCs w:val="30"/>
          <w:lang w:eastAsia="zh-CN"/>
        </w:rPr>
      </w:pPr>
      <w:r>
        <w:rPr>
          <w:rFonts w:hint="eastAsia" w:ascii="黑体" w:hAnsi="黑体" w:eastAsia="黑体" w:cs="黑体"/>
          <w:b/>
          <w:bCs/>
          <w:color w:val="auto"/>
          <w:spacing w:val="0"/>
          <w:sz w:val="30"/>
          <w:szCs w:val="30"/>
        </w:rPr>
        <w:t>专题二：财务分析与</w:t>
      </w:r>
      <w:r>
        <w:rPr>
          <w:rFonts w:hint="eastAsia" w:ascii="黑体" w:hAnsi="黑体" w:eastAsia="黑体" w:cs="黑体"/>
          <w:b/>
          <w:bCs/>
          <w:color w:val="auto"/>
          <w:spacing w:val="0"/>
          <w:sz w:val="30"/>
          <w:szCs w:val="30"/>
          <w:lang w:eastAsia="zh-CN"/>
        </w:rPr>
        <w:t>价值创造</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专题介绍：</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 w:val="0"/>
          <w:bCs/>
          <w:color w:val="auto"/>
          <w:spacing w:val="0"/>
          <w:sz w:val="30"/>
          <w:szCs w:val="30"/>
        </w:rPr>
      </w:pPr>
      <w:r>
        <w:rPr>
          <w:rFonts w:hint="eastAsia" w:ascii="仿宋" w:hAnsi="仿宋" w:eastAsia="仿宋" w:cs="仿宋"/>
          <w:b w:val="0"/>
          <w:bCs/>
          <w:color w:val="auto"/>
          <w:spacing w:val="0"/>
          <w:sz w:val="30"/>
          <w:szCs w:val="30"/>
        </w:rPr>
        <w:t>数字化浪潮带来的商业变革，已经改写了现在及未来企业的竞争法则，传统企业面对</w:t>
      </w:r>
      <w:r>
        <w:rPr>
          <w:rFonts w:hint="eastAsia" w:ascii="仿宋" w:hAnsi="仿宋" w:eastAsia="仿宋" w:cs="仿宋"/>
          <w:b w:val="0"/>
          <w:bCs/>
          <w:color w:val="auto"/>
          <w:spacing w:val="0"/>
          <w:sz w:val="30"/>
          <w:szCs w:val="30"/>
          <w:lang w:val="en-US" w:eastAsia="zh-CN"/>
        </w:rPr>
        <w:t>严峻</w:t>
      </w:r>
      <w:r>
        <w:rPr>
          <w:rFonts w:hint="eastAsia" w:ascii="仿宋" w:hAnsi="仿宋" w:eastAsia="仿宋" w:cs="仿宋"/>
          <w:b w:val="0"/>
          <w:bCs/>
          <w:color w:val="auto"/>
          <w:spacing w:val="0"/>
          <w:sz w:val="30"/>
          <w:szCs w:val="30"/>
        </w:rPr>
        <w:t>现实。通过从战略视角对财务报表进行解构和重构，找到经营管理中存在的问题以及改进方向，梳理企业结构性成本和成本动因，是新时代优秀财务工作者的必备能力。</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 w:val="0"/>
          <w:bCs/>
          <w:color w:val="auto"/>
          <w:spacing w:val="0"/>
          <w:sz w:val="30"/>
          <w:szCs w:val="30"/>
        </w:rPr>
      </w:pPr>
      <w:r>
        <w:rPr>
          <w:rFonts w:hint="eastAsia" w:ascii="仿宋" w:hAnsi="仿宋" w:eastAsia="仿宋" w:cs="仿宋"/>
          <w:b w:val="0"/>
          <w:bCs/>
          <w:color w:val="auto"/>
          <w:spacing w:val="0"/>
          <w:sz w:val="30"/>
          <w:szCs w:val="30"/>
          <w:lang w:val="en-US" w:eastAsia="zh-CN"/>
        </w:rPr>
        <w:t>本专题</w:t>
      </w:r>
      <w:r>
        <w:rPr>
          <w:rFonts w:hint="eastAsia" w:ascii="仿宋" w:hAnsi="仿宋" w:eastAsia="仿宋" w:cs="仿宋"/>
          <w:b w:val="0"/>
          <w:bCs/>
          <w:color w:val="auto"/>
          <w:spacing w:val="0"/>
          <w:sz w:val="30"/>
          <w:szCs w:val="30"/>
        </w:rPr>
        <w:t>帮助企业财务人员跟踪时代变革，及时把握商业动态，了解管理工具创新，提高从战略视角解读财务报表的能力，提高成本管理和经营管理水平，发挥财务部门的决策支持功能。</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课程内容：</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战略思维下的财务风险防范分析思路</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经营能力分析：提升管理效率，控制经营风险</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营运资本分析：提升资产效率，防范资金风险</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流动性分析：控制企业信用风险</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
          <w:bCs/>
          <w:color w:val="auto"/>
          <w:spacing w:val="0"/>
          <w:sz w:val="30"/>
          <w:szCs w:val="30"/>
        </w:rPr>
      </w:pPr>
      <w:r>
        <w:rPr>
          <w:rFonts w:hint="eastAsia" w:ascii="仿宋" w:hAnsi="仿宋" w:eastAsia="仿宋" w:cs="仿宋"/>
          <w:bCs/>
          <w:color w:val="auto"/>
          <w:spacing w:val="0"/>
          <w:kern w:val="1"/>
          <w:sz w:val="30"/>
          <w:szCs w:val="30"/>
        </w:rPr>
        <w:t>前景分析</w:t>
      </w:r>
    </w:p>
    <w:p>
      <w:pPr>
        <w:keepNext w:val="0"/>
        <w:keepLines w:val="0"/>
        <w:pageBreakBefore w:val="0"/>
        <w:widowControl/>
        <w:numPr>
          <w:ilvl w:val="0"/>
          <w:numId w:val="0"/>
        </w:numPr>
        <w:kinsoku/>
        <w:overflowPunct/>
        <w:topLinePunct w:val="0"/>
        <w:autoSpaceDE/>
        <w:autoSpaceDN/>
        <w:bidi w:val="0"/>
        <w:adjustRightInd/>
        <w:spacing w:line="560" w:lineRule="exact"/>
        <w:ind w:left="420" w:leftChars="0"/>
        <w:jc w:val="left"/>
        <w:textAlignment w:val="auto"/>
        <w:rPr>
          <w:rFonts w:hint="eastAsia" w:ascii="黑体" w:hAnsi="黑体" w:eastAsia="黑体" w:cs="黑体"/>
          <w:b/>
          <w:bCs/>
          <w:color w:val="auto"/>
          <w:spacing w:val="0"/>
          <w:sz w:val="30"/>
          <w:szCs w:val="30"/>
        </w:rPr>
      </w:pPr>
      <w:r>
        <w:rPr>
          <w:rFonts w:hint="eastAsia" w:ascii="黑体" w:hAnsi="黑体" w:eastAsia="黑体" w:cs="黑体"/>
          <w:b/>
          <w:bCs/>
          <w:color w:val="auto"/>
          <w:spacing w:val="0"/>
          <w:sz w:val="30"/>
          <w:szCs w:val="30"/>
        </w:rPr>
        <w:t>专题三：企业预算控制与绩效评价</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专题介绍</w:t>
      </w:r>
      <w:r>
        <w:rPr>
          <w:rFonts w:hint="eastAsia" w:ascii="楷体" w:hAnsi="楷体" w:eastAsia="楷体" w:cs="楷体"/>
          <w:b/>
          <w:color w:val="auto"/>
          <w:spacing w:val="0"/>
          <w:sz w:val="30"/>
          <w:szCs w:val="30"/>
          <w:lang w:eastAsia="zh-CN"/>
        </w:rPr>
        <w:t>：</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Cs/>
          <w:color w:val="auto"/>
          <w:spacing w:val="0"/>
          <w:sz w:val="30"/>
          <w:szCs w:val="30"/>
        </w:rPr>
      </w:pPr>
      <w:r>
        <w:rPr>
          <w:rFonts w:hint="eastAsia" w:ascii="仿宋" w:hAnsi="仿宋" w:eastAsia="仿宋" w:cs="仿宋"/>
          <w:bCs/>
          <w:color w:val="auto"/>
          <w:spacing w:val="0"/>
          <w:sz w:val="30"/>
          <w:szCs w:val="30"/>
        </w:rPr>
        <w:t>本</w:t>
      </w:r>
      <w:r>
        <w:rPr>
          <w:rFonts w:hint="eastAsia" w:ascii="仿宋" w:hAnsi="仿宋" w:eastAsia="仿宋" w:cs="仿宋"/>
          <w:bCs/>
          <w:color w:val="auto"/>
          <w:spacing w:val="0"/>
          <w:sz w:val="30"/>
          <w:szCs w:val="30"/>
          <w:lang w:val="en-US" w:eastAsia="zh-CN"/>
        </w:rPr>
        <w:t>专题</w:t>
      </w:r>
      <w:r>
        <w:rPr>
          <w:rFonts w:hint="eastAsia" w:ascii="仿宋" w:hAnsi="仿宋" w:eastAsia="仿宋" w:cs="仿宋"/>
          <w:bCs/>
          <w:color w:val="auto"/>
          <w:spacing w:val="0"/>
          <w:sz w:val="30"/>
          <w:szCs w:val="30"/>
        </w:rPr>
        <w:t>将通过大量的案例分析与实例演练，为学员展示一个系统、科学的预算管理体系，帮助学员了解如何编制合理的预算，如何通过全面预算管理，促进企业部门与部门之间的相互交流与沟通；如何明确并量化公司的经营目标、制定并不断调整经营计划，用预算规范企业的管理控制。真正把财务预算变成企业全体员工认同、为企业成功提供保证的全面预算管理。</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课程内容：</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 w:val="0"/>
          <w:bCs/>
          <w:color w:val="auto"/>
          <w:spacing w:val="0"/>
          <w:kern w:val="1"/>
          <w:sz w:val="30"/>
          <w:szCs w:val="30"/>
        </w:rPr>
      </w:pPr>
      <w:r>
        <w:rPr>
          <w:rFonts w:hint="eastAsia" w:ascii="仿宋" w:hAnsi="仿宋" w:eastAsia="仿宋" w:cs="仿宋"/>
          <w:b w:val="0"/>
          <w:bCs/>
          <w:color w:val="auto"/>
          <w:spacing w:val="0"/>
          <w:kern w:val="1"/>
          <w:sz w:val="30"/>
          <w:szCs w:val="30"/>
        </w:rPr>
        <w:t>预算管理在企业管理中的定位</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 w:val="0"/>
          <w:bCs/>
          <w:color w:val="auto"/>
          <w:spacing w:val="0"/>
          <w:kern w:val="1"/>
          <w:sz w:val="30"/>
          <w:szCs w:val="30"/>
        </w:rPr>
      </w:pPr>
      <w:r>
        <w:rPr>
          <w:rFonts w:hint="eastAsia" w:ascii="仿宋" w:hAnsi="仿宋" w:eastAsia="仿宋" w:cs="仿宋"/>
          <w:b w:val="0"/>
          <w:bCs/>
          <w:color w:val="auto"/>
          <w:spacing w:val="0"/>
          <w:kern w:val="1"/>
          <w:sz w:val="30"/>
          <w:szCs w:val="30"/>
        </w:rPr>
        <w:t>预算编制过程中的控制</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 w:val="0"/>
          <w:bCs/>
          <w:color w:val="auto"/>
          <w:spacing w:val="0"/>
          <w:kern w:val="1"/>
          <w:sz w:val="30"/>
          <w:szCs w:val="30"/>
        </w:rPr>
      </w:pPr>
      <w:r>
        <w:rPr>
          <w:rFonts w:hint="eastAsia" w:ascii="仿宋" w:hAnsi="仿宋" w:eastAsia="仿宋" w:cs="仿宋"/>
          <w:b w:val="0"/>
          <w:bCs/>
          <w:color w:val="auto"/>
          <w:spacing w:val="0"/>
          <w:kern w:val="1"/>
          <w:sz w:val="30"/>
          <w:szCs w:val="30"/>
        </w:rPr>
        <w:t>预算执行分析与调整</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
          <w:bCs w:val="0"/>
          <w:color w:val="auto"/>
          <w:spacing w:val="0"/>
          <w:kern w:val="1"/>
          <w:sz w:val="30"/>
          <w:szCs w:val="30"/>
        </w:rPr>
      </w:pPr>
      <w:r>
        <w:rPr>
          <w:rFonts w:hint="eastAsia" w:ascii="仿宋" w:hAnsi="仿宋" w:eastAsia="仿宋" w:cs="仿宋"/>
          <w:b w:val="0"/>
          <w:bCs/>
          <w:color w:val="auto"/>
          <w:spacing w:val="0"/>
          <w:kern w:val="1"/>
          <w:sz w:val="30"/>
          <w:szCs w:val="30"/>
        </w:rPr>
        <w:t>绩效管理与绩效评价</w:t>
      </w:r>
    </w:p>
    <w:p>
      <w:pPr>
        <w:keepNext w:val="0"/>
        <w:keepLines w:val="0"/>
        <w:pageBreakBefore w:val="0"/>
        <w:kinsoku/>
        <w:overflowPunct/>
        <w:topLinePunct w:val="0"/>
        <w:autoSpaceDE/>
        <w:autoSpaceDN/>
        <w:bidi w:val="0"/>
        <w:adjustRightInd/>
        <w:textAlignment w:val="auto"/>
        <w:rPr>
          <w:rFonts w:hint="eastAsia" w:ascii="黑体" w:hAnsi="黑体" w:eastAsia="黑体" w:cs="黑体"/>
          <w:b/>
          <w:bCs/>
          <w:color w:val="auto"/>
          <w:spacing w:val="0"/>
          <w:sz w:val="30"/>
          <w:szCs w:val="30"/>
        </w:rPr>
      </w:pPr>
      <w:r>
        <w:rPr>
          <w:rFonts w:hint="eastAsia" w:ascii="黑体" w:hAnsi="黑体" w:eastAsia="黑体" w:cs="黑体"/>
          <w:b/>
          <w:bCs/>
          <w:color w:val="auto"/>
          <w:spacing w:val="0"/>
          <w:sz w:val="30"/>
          <w:szCs w:val="30"/>
        </w:rPr>
        <w:t>专题四：企业内部控制与风险管理</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专题介绍：</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Cs/>
          <w:color w:val="auto"/>
          <w:spacing w:val="0"/>
          <w:sz w:val="30"/>
          <w:szCs w:val="30"/>
        </w:rPr>
      </w:pPr>
      <w:r>
        <w:rPr>
          <w:rFonts w:hint="eastAsia" w:ascii="仿宋" w:hAnsi="仿宋" w:eastAsia="仿宋" w:cs="仿宋"/>
          <w:bCs/>
          <w:color w:val="auto"/>
          <w:spacing w:val="0"/>
          <w:sz w:val="30"/>
          <w:szCs w:val="30"/>
        </w:rPr>
        <w:t>内部控制对于企业经营管理的重要性日益凸显</w:t>
      </w:r>
      <w:r>
        <w:rPr>
          <w:rFonts w:hint="eastAsia" w:ascii="仿宋" w:hAnsi="仿宋" w:eastAsia="仿宋" w:cs="仿宋"/>
          <w:bCs/>
          <w:color w:val="auto"/>
          <w:spacing w:val="0"/>
          <w:sz w:val="30"/>
          <w:szCs w:val="30"/>
          <w:lang w:eastAsia="zh-CN"/>
        </w:rPr>
        <w:t>，</w:t>
      </w:r>
      <w:r>
        <w:rPr>
          <w:rFonts w:hint="eastAsia" w:ascii="仿宋" w:hAnsi="仿宋" w:eastAsia="仿宋" w:cs="仿宋"/>
          <w:bCs/>
          <w:color w:val="auto"/>
          <w:spacing w:val="0"/>
          <w:sz w:val="30"/>
          <w:szCs w:val="30"/>
        </w:rPr>
        <w:t>它涉及到企业的方方面面，涉及企业运营的各个层次，包括各项业务、业务流程中的各个环节和企业中的每一个成员。到目前，国内企业的内部控制工作面临三种情况和难点：一是已经全面实施《企业内部控制规范》及其配套指引的企业，下一步的内部控制工作如何走向深入和提升优化；二是还没有全面实施的企业，特别是民营企业，如何吸取其他企业实施中积累的经验和教训，从而高起点、高水准开展内部控制工作；三是拟上市公司如何完善内部控制，特别是财务报告相关的内部控制体系，以满足监管要求，消除上市障碍。</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Cs/>
          <w:color w:val="auto"/>
          <w:spacing w:val="0"/>
          <w:sz w:val="30"/>
          <w:szCs w:val="30"/>
        </w:rPr>
      </w:pPr>
      <w:r>
        <w:rPr>
          <w:rFonts w:hint="eastAsia" w:ascii="仿宋" w:hAnsi="仿宋" w:eastAsia="仿宋" w:cs="仿宋"/>
          <w:bCs/>
          <w:color w:val="auto"/>
          <w:spacing w:val="0"/>
          <w:sz w:val="30"/>
          <w:szCs w:val="30"/>
        </w:rPr>
        <w:t>企业风险管理是一套由企业董事会与管理层共同设立、和与企业战略相结合的管理流程。它的功能是识别那些会影响企业运作的潜在事件和把相关的风险管理到一个企业可接受的水平，从而帮助企业</w:t>
      </w:r>
      <w:r>
        <w:rPr>
          <w:rFonts w:hint="eastAsia" w:ascii="仿宋" w:hAnsi="仿宋" w:eastAsia="仿宋" w:cs="仿宋"/>
          <w:bCs/>
          <w:color w:val="auto"/>
          <w:spacing w:val="0"/>
          <w:sz w:val="30"/>
          <w:szCs w:val="30"/>
          <w:lang w:val="en-US" w:eastAsia="zh-CN"/>
        </w:rPr>
        <w:t>实现管理</w:t>
      </w:r>
      <w:r>
        <w:rPr>
          <w:rFonts w:hint="eastAsia" w:ascii="仿宋" w:hAnsi="仿宋" w:eastAsia="仿宋" w:cs="仿宋"/>
          <w:bCs/>
          <w:color w:val="auto"/>
          <w:spacing w:val="0"/>
          <w:sz w:val="30"/>
          <w:szCs w:val="30"/>
        </w:rPr>
        <w:t>目标。</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课程内容：</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我国内控存在的常见问题解析</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企业内控建设流程与方法</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内控的实战技能</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内控评价与审计</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内控信息化建设</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风险投资与企业融资</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产权制度与企业法人治理结构</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风险管理的基本框架</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风险管理构成要素</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企业风险管理构成框架</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风险对企业造成的影响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color w:val="auto"/>
          <w:spacing w:val="0"/>
          <w:sz w:val="30"/>
          <w:szCs w:val="30"/>
        </w:rPr>
      </w:pPr>
      <w:r>
        <w:rPr>
          <w:rFonts w:hint="eastAsia" w:ascii="黑体" w:hAnsi="黑体" w:eastAsia="黑体" w:cs="黑体"/>
          <w:b/>
          <w:bCs/>
          <w:color w:val="auto"/>
          <w:spacing w:val="0"/>
          <w:sz w:val="30"/>
          <w:szCs w:val="30"/>
        </w:rPr>
        <w:t>专题五：</w:t>
      </w:r>
      <w:r>
        <w:rPr>
          <w:rFonts w:hint="eastAsia" w:ascii="黑体" w:hAnsi="黑体" w:eastAsia="黑体" w:cs="黑体"/>
          <w:b/>
          <w:bCs/>
          <w:color w:val="auto"/>
          <w:spacing w:val="0"/>
          <w:sz w:val="30"/>
          <w:szCs w:val="30"/>
          <w:lang w:eastAsia="zh-CN"/>
        </w:rPr>
        <w:t>经济责任审计实务与案例</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 w:val="0"/>
          <w:bCs/>
          <w:color w:val="auto"/>
          <w:spacing w:val="0"/>
          <w:sz w:val="30"/>
          <w:szCs w:val="30"/>
        </w:rPr>
      </w:pPr>
      <w:r>
        <w:rPr>
          <w:rFonts w:hint="eastAsia" w:ascii="仿宋" w:hAnsi="仿宋" w:eastAsia="仿宋" w:cs="仿宋"/>
          <w:b w:val="0"/>
          <w:bCs/>
          <w:color w:val="auto"/>
          <w:spacing w:val="0"/>
          <w:sz w:val="30"/>
          <w:szCs w:val="30"/>
          <w:lang w:val="en-US" w:eastAsia="zh-CN"/>
        </w:rPr>
        <w:t>随着</w:t>
      </w:r>
      <w:r>
        <w:rPr>
          <w:rFonts w:hint="eastAsia" w:ascii="仿宋" w:hAnsi="仿宋" w:eastAsia="仿宋" w:cs="仿宋"/>
          <w:b w:val="0"/>
          <w:bCs/>
          <w:color w:val="auto"/>
          <w:spacing w:val="0"/>
          <w:sz w:val="30"/>
          <w:szCs w:val="30"/>
          <w:lang w:eastAsia="zh-CN"/>
        </w:rPr>
        <w:t>《</w:t>
      </w:r>
      <w:r>
        <w:rPr>
          <w:rFonts w:hint="eastAsia" w:ascii="仿宋" w:hAnsi="仿宋" w:eastAsia="仿宋" w:cs="仿宋"/>
          <w:b w:val="0"/>
          <w:bCs/>
          <w:color w:val="auto"/>
          <w:spacing w:val="0"/>
          <w:sz w:val="30"/>
          <w:szCs w:val="30"/>
        </w:rPr>
        <w:t>“十四五”国家审计工作发展规划</w:t>
      </w:r>
      <w:r>
        <w:rPr>
          <w:rFonts w:hint="eastAsia" w:ascii="仿宋" w:hAnsi="仿宋" w:eastAsia="仿宋" w:cs="仿宋"/>
          <w:b w:val="0"/>
          <w:bCs/>
          <w:color w:val="auto"/>
          <w:spacing w:val="0"/>
          <w:sz w:val="30"/>
          <w:szCs w:val="30"/>
          <w:lang w:eastAsia="zh-CN"/>
        </w:rPr>
        <w:t>》</w:t>
      </w:r>
      <w:r>
        <w:rPr>
          <w:rFonts w:hint="eastAsia" w:ascii="仿宋" w:hAnsi="仿宋" w:eastAsia="仿宋" w:cs="仿宋"/>
          <w:b w:val="0"/>
          <w:bCs/>
          <w:color w:val="auto"/>
          <w:spacing w:val="0"/>
          <w:sz w:val="30"/>
          <w:szCs w:val="30"/>
          <w:lang w:val="en-US" w:eastAsia="zh-CN"/>
        </w:rPr>
        <w:t>的</w:t>
      </w:r>
      <w:r>
        <w:rPr>
          <w:rFonts w:hint="eastAsia" w:ascii="仿宋" w:hAnsi="仿宋" w:eastAsia="仿宋" w:cs="仿宋"/>
          <w:b w:val="0"/>
          <w:bCs/>
          <w:color w:val="auto"/>
          <w:spacing w:val="0"/>
          <w:sz w:val="30"/>
          <w:szCs w:val="30"/>
        </w:rPr>
        <w:t>出台，对各级党政主要领导干部和国有企事业单位主要领导人员经济责任审计，提出了科学确定经济责任审计计划和审计重点、规范经济责任审计评价、推动深化经济责任审计结果运用等重要要求。经济责任审计是内部审计中的重要审计形式之一。开展经济责任审计对于公司发现和培养重要管理人才，理清工作中责任区分，传承优秀经验，吸取前任教训都很有好处。</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课程内容：</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领导干部经济责任的风险防范</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从方案设计到整改问责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color w:val="auto"/>
          <w:spacing w:val="0"/>
          <w:sz w:val="30"/>
          <w:szCs w:val="30"/>
        </w:rPr>
      </w:pPr>
      <w:r>
        <w:rPr>
          <w:rFonts w:hint="eastAsia" w:ascii="黑体" w:hAnsi="黑体" w:eastAsia="黑体" w:cs="黑体"/>
          <w:b/>
          <w:bCs/>
          <w:color w:val="auto"/>
          <w:spacing w:val="0"/>
          <w:sz w:val="30"/>
          <w:szCs w:val="30"/>
        </w:rPr>
        <w:t>专题六：智能财务共享服务中心建设与运营实战</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Cs/>
          <w:color w:val="auto"/>
          <w:spacing w:val="0"/>
          <w:sz w:val="30"/>
          <w:szCs w:val="30"/>
        </w:rPr>
      </w:pPr>
      <w:r>
        <w:rPr>
          <w:rFonts w:hint="eastAsia" w:ascii="楷体" w:hAnsi="楷体" w:eastAsia="楷体" w:cs="楷体"/>
          <w:b/>
          <w:color w:val="auto"/>
          <w:spacing w:val="0"/>
          <w:sz w:val="30"/>
          <w:szCs w:val="30"/>
        </w:rPr>
        <w:t>专题介绍：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Cs/>
          <w:color w:val="auto"/>
          <w:spacing w:val="0"/>
          <w:sz w:val="30"/>
          <w:szCs w:val="30"/>
        </w:rPr>
      </w:pPr>
      <w:r>
        <w:rPr>
          <w:rFonts w:hint="eastAsia" w:ascii="仿宋" w:hAnsi="仿宋" w:eastAsia="仿宋" w:cs="仿宋"/>
          <w:bCs/>
          <w:color w:val="auto"/>
          <w:spacing w:val="0"/>
          <w:sz w:val="30"/>
          <w:szCs w:val="30"/>
        </w:rPr>
        <w:t>传统的财务会计专注于会计核算，在“有助于财务会计报告使用者作出经济决策”方面发挥的作用还远远不够。通过建立财务共享服务中心的方式，可以将会计基础核算等低附加值的作业劳动集中起来，基于流程再造和IT系统整合，可以最终提升会计核算业务处理效率。在巩固财务会计基础、加强管控的同时,作为后台服务的财务共享服务中心，可以为战略、经营决策提供重要的信息和分析，支持为公司创造价值的管理会计活动。</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课程内容：</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财务共享服务中心建设的准备工作</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财务共享服务中心的方案设计</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财务共享服务中心建设的项目管理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财务共享服务中心增值服务的功能拓展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b/>
          <w:color w:val="auto"/>
          <w:spacing w:val="0"/>
          <w:sz w:val="30"/>
          <w:szCs w:val="30"/>
        </w:rPr>
      </w:pPr>
      <w:r>
        <w:rPr>
          <w:rFonts w:hint="eastAsia" w:ascii="仿宋" w:hAnsi="仿宋" w:eastAsia="仿宋" w:cs="仿宋"/>
          <w:bCs/>
          <w:color w:val="auto"/>
          <w:spacing w:val="0"/>
          <w:kern w:val="1"/>
          <w:sz w:val="30"/>
          <w:szCs w:val="30"/>
        </w:rPr>
        <w:t>云计算、大数据、互联网背景下的财务共享服务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color w:val="auto"/>
          <w:spacing w:val="0"/>
          <w:sz w:val="30"/>
          <w:szCs w:val="30"/>
        </w:rPr>
      </w:pPr>
      <w:r>
        <w:rPr>
          <w:rFonts w:hint="eastAsia" w:ascii="黑体" w:hAnsi="黑体" w:eastAsia="黑体" w:cs="黑体"/>
          <w:b/>
          <w:bCs/>
          <w:color w:val="auto"/>
          <w:spacing w:val="0"/>
          <w:sz w:val="30"/>
          <w:szCs w:val="30"/>
        </w:rPr>
        <w:t>专题七：投融资管理与公司并购及重组</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Cs/>
          <w:color w:val="auto"/>
          <w:spacing w:val="0"/>
          <w:sz w:val="30"/>
          <w:szCs w:val="30"/>
        </w:rPr>
      </w:pPr>
      <w:r>
        <w:rPr>
          <w:rFonts w:hint="eastAsia" w:ascii="仿宋" w:hAnsi="仿宋" w:eastAsia="仿宋" w:cs="仿宋"/>
          <w:bCs/>
          <w:color w:val="auto"/>
          <w:spacing w:val="0"/>
          <w:sz w:val="30"/>
          <w:szCs w:val="30"/>
        </w:rPr>
        <w:t>企业的投融资也就是我们常说的融资、投资这两个方面，它们虽然是企业在运营时所采取的不同方式，但目的只有一个，那就是要利用融资以及投资办法尽快的使得企业收获更好的经济效益。</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Cs/>
          <w:color w:val="auto"/>
          <w:spacing w:val="0"/>
          <w:sz w:val="30"/>
          <w:szCs w:val="30"/>
        </w:rPr>
      </w:pPr>
      <w:r>
        <w:rPr>
          <w:rFonts w:hint="eastAsia" w:ascii="仿宋" w:hAnsi="仿宋" w:eastAsia="仿宋" w:cs="仿宋"/>
          <w:bCs/>
          <w:color w:val="auto"/>
          <w:spacing w:val="0"/>
          <w:sz w:val="30"/>
          <w:szCs w:val="30"/>
        </w:rPr>
        <w:t>并购重组，已经成为最大化企业价值和创造持续竞争优势的企业战略的一个重要措施。本</w:t>
      </w:r>
      <w:r>
        <w:rPr>
          <w:rFonts w:hint="eastAsia" w:ascii="仿宋" w:hAnsi="仿宋" w:eastAsia="仿宋" w:cs="仿宋"/>
          <w:bCs/>
          <w:color w:val="auto"/>
          <w:spacing w:val="0"/>
          <w:sz w:val="30"/>
          <w:szCs w:val="30"/>
          <w:lang w:val="en-US" w:eastAsia="zh-CN"/>
        </w:rPr>
        <w:t>专题</w:t>
      </w:r>
      <w:r>
        <w:rPr>
          <w:rFonts w:hint="eastAsia" w:ascii="仿宋" w:hAnsi="仿宋" w:eastAsia="仿宋" w:cs="仿宋"/>
          <w:bCs/>
          <w:color w:val="auto"/>
          <w:spacing w:val="0"/>
          <w:sz w:val="30"/>
          <w:szCs w:val="30"/>
        </w:rPr>
        <w:t>内容立足深入剖析企业并购重组的运作方法与策略，集合海内外并购成功案例的通行要素，帮助企业提高并购成功率。</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课程内容：</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利率市场化与互联网金融</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资金管理创新的理念与框架</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集团企业现金流管理与控制实务</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 xml:space="preserve">企业并购与并购融资                                          </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并购中的估值及报告阅读的关键</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b/>
          <w:color w:val="auto"/>
          <w:spacing w:val="0"/>
          <w:sz w:val="30"/>
          <w:szCs w:val="30"/>
        </w:rPr>
      </w:pPr>
      <w:r>
        <w:rPr>
          <w:rFonts w:hint="eastAsia" w:ascii="仿宋" w:hAnsi="仿宋" w:eastAsia="仿宋" w:cs="仿宋"/>
          <w:color w:val="auto"/>
          <w:spacing w:val="0"/>
          <w:kern w:val="0"/>
          <w:sz w:val="30"/>
          <w:szCs w:val="30"/>
        </w:rPr>
        <w:t>并购重组中的财务问题</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并购重组的风险控制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color w:val="auto"/>
          <w:spacing w:val="0"/>
          <w:sz w:val="30"/>
          <w:szCs w:val="30"/>
        </w:rPr>
      </w:pPr>
      <w:r>
        <w:rPr>
          <w:rFonts w:hint="eastAsia" w:ascii="黑体" w:hAnsi="黑体" w:eastAsia="黑体" w:cs="黑体"/>
          <w:b/>
          <w:bCs/>
          <w:color w:val="auto"/>
          <w:spacing w:val="0"/>
          <w:sz w:val="30"/>
          <w:szCs w:val="30"/>
        </w:rPr>
        <w:t>专题八：数字化时代的业财融合实务与案例分析</w:t>
      </w:r>
    </w:p>
    <w:p>
      <w:pPr>
        <w:keepNext w:val="0"/>
        <w:keepLines w:val="0"/>
        <w:pageBreakBefore w:val="0"/>
        <w:widowControl/>
        <w:numPr>
          <w:ilvl w:val="0"/>
          <w:numId w:val="11"/>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专题介绍：</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Cs/>
          <w:color w:val="auto"/>
          <w:spacing w:val="0"/>
          <w:sz w:val="30"/>
          <w:szCs w:val="30"/>
        </w:rPr>
      </w:pPr>
      <w:r>
        <w:rPr>
          <w:rFonts w:hint="eastAsia" w:ascii="仿宋" w:hAnsi="仿宋" w:eastAsia="仿宋" w:cs="仿宋"/>
          <w:bCs/>
          <w:color w:val="auto"/>
          <w:spacing w:val="0"/>
          <w:sz w:val="30"/>
          <w:szCs w:val="30"/>
        </w:rPr>
        <w:t>在经济步入新常态的当下，企业必须以坚忍不拔的精神开展持续重塑，不断寻求并实施变革，做出敏捷的分析和预测，把资源集中于回报更高、前景更好的市场、产品或渠道。作为业务合作伙伴，财务专业人士能够为上述决策提供支持，并推动有效的绩效管理。而要实现这一目标，财务部门必须转型。财务需要借助标准化、自动化和共享服务提高效率，需要借助云计算、大数据和BI等提供有效的管理信息，通过决策支持和绩效管理发挥更大的影响力和作用，也就是业财融合。</w:t>
      </w:r>
    </w:p>
    <w:p>
      <w:pPr>
        <w:keepNext w:val="0"/>
        <w:keepLines w:val="0"/>
        <w:pageBreakBefore w:val="0"/>
        <w:widowControl/>
        <w:numPr>
          <w:ilvl w:val="0"/>
          <w:numId w:val="11"/>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课程内容：</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财务管理转型背景</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业务对财务的需求</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战略支持路径与工具</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财务管理转型与信息技术运用能力</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color w:val="auto"/>
          <w:spacing w:val="0"/>
          <w:sz w:val="30"/>
          <w:szCs w:val="30"/>
        </w:rPr>
      </w:pPr>
      <w:r>
        <w:rPr>
          <w:rFonts w:hint="eastAsia" w:ascii="黑体" w:hAnsi="黑体" w:eastAsia="黑体" w:cs="黑体"/>
          <w:b/>
          <w:bCs/>
          <w:color w:val="auto"/>
          <w:spacing w:val="0"/>
          <w:sz w:val="30"/>
          <w:szCs w:val="30"/>
        </w:rPr>
        <w:t>专题九：财务人员法律素质提升与《民法典》权威解读</w:t>
      </w:r>
    </w:p>
    <w:p>
      <w:pPr>
        <w:pStyle w:val="28"/>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专题介绍：</w:t>
      </w:r>
    </w:p>
    <w:p>
      <w:pPr>
        <w:pStyle w:val="28"/>
        <w:keepNext w:val="0"/>
        <w:keepLines w:val="0"/>
        <w:pageBreakBefore w:val="0"/>
        <w:kinsoku/>
        <w:wordWrap/>
        <w:overflowPunct/>
        <w:topLinePunct w:val="0"/>
        <w:autoSpaceDE/>
        <w:autoSpaceDN/>
        <w:bidi w:val="0"/>
        <w:adjustRightInd/>
        <w:snapToGrid/>
        <w:spacing w:line="560" w:lineRule="exact"/>
        <w:ind w:firstLine="592"/>
        <w:textAlignment w:val="auto"/>
        <w:rPr>
          <w:rFonts w:hint="eastAsia" w:ascii="仿宋" w:hAnsi="仿宋" w:eastAsia="仿宋" w:cs="仿宋"/>
          <w:b/>
          <w:color w:val="auto"/>
          <w:spacing w:val="0"/>
          <w:sz w:val="30"/>
          <w:szCs w:val="30"/>
          <w:lang w:val="en-US" w:eastAsia="zh-CN"/>
        </w:rPr>
      </w:pPr>
      <w:r>
        <w:rPr>
          <w:rFonts w:hint="eastAsia" w:ascii="仿宋" w:hAnsi="仿宋" w:eastAsia="仿宋" w:cs="仿宋"/>
          <w:bCs/>
          <w:color w:val="auto"/>
          <w:spacing w:val="0"/>
          <w:sz w:val="30"/>
          <w:szCs w:val="30"/>
        </w:rPr>
        <w:t>为便于</w:t>
      </w:r>
      <w:r>
        <w:rPr>
          <w:rFonts w:hint="eastAsia" w:ascii="仿宋" w:hAnsi="仿宋" w:eastAsia="仿宋" w:cs="仿宋"/>
          <w:bCs/>
          <w:color w:val="auto"/>
          <w:spacing w:val="0"/>
          <w:sz w:val="30"/>
          <w:szCs w:val="30"/>
          <w:lang w:val="en-US" w:eastAsia="zh-CN"/>
        </w:rPr>
        <w:t>财务管理人员</w:t>
      </w:r>
      <w:r>
        <w:rPr>
          <w:rFonts w:hint="eastAsia" w:ascii="仿宋" w:hAnsi="仿宋" w:eastAsia="仿宋" w:cs="仿宋"/>
          <w:bCs/>
          <w:color w:val="auto"/>
          <w:spacing w:val="0"/>
          <w:sz w:val="30"/>
          <w:szCs w:val="30"/>
        </w:rPr>
        <w:t>更好地了解</w:t>
      </w:r>
      <w:r>
        <w:rPr>
          <w:rFonts w:hint="eastAsia" w:ascii="仿宋" w:hAnsi="仿宋" w:eastAsia="仿宋" w:cs="仿宋"/>
          <w:bCs/>
          <w:color w:val="auto"/>
          <w:spacing w:val="0"/>
          <w:sz w:val="30"/>
          <w:szCs w:val="30"/>
          <w:lang w:eastAsia="zh-CN"/>
        </w:rPr>
        <w:t>《</w:t>
      </w:r>
      <w:r>
        <w:rPr>
          <w:rFonts w:hint="eastAsia" w:ascii="仿宋" w:hAnsi="仿宋" w:eastAsia="仿宋" w:cs="仿宋"/>
          <w:bCs/>
          <w:color w:val="auto"/>
          <w:spacing w:val="0"/>
          <w:sz w:val="30"/>
          <w:szCs w:val="30"/>
        </w:rPr>
        <w:t>民法典</w:t>
      </w:r>
      <w:r>
        <w:rPr>
          <w:rFonts w:hint="eastAsia" w:ascii="仿宋" w:hAnsi="仿宋" w:eastAsia="仿宋" w:cs="仿宋"/>
          <w:bCs/>
          <w:color w:val="auto"/>
          <w:spacing w:val="0"/>
          <w:sz w:val="30"/>
          <w:szCs w:val="30"/>
          <w:lang w:eastAsia="zh-CN"/>
        </w:rPr>
        <w:t>》</w:t>
      </w:r>
      <w:r>
        <w:rPr>
          <w:rFonts w:hint="eastAsia" w:ascii="仿宋" w:hAnsi="仿宋" w:eastAsia="仿宋" w:cs="仿宋"/>
          <w:bCs/>
          <w:color w:val="auto"/>
          <w:spacing w:val="0"/>
          <w:sz w:val="30"/>
          <w:szCs w:val="30"/>
        </w:rPr>
        <w:t>编篡的背景、意义以及正确理解,深入解读《民法典》对民事法律行为的构成事件、行为主体要求及法律责任,掌握《民法典》的内容、框架、结构, 准确理解《中华人民共和国民法典》精神，加强对民法典学习和探讨</w:t>
      </w:r>
      <w:r>
        <w:rPr>
          <w:rFonts w:hint="eastAsia" w:ascii="仿宋" w:hAnsi="仿宋" w:eastAsia="仿宋" w:cs="仿宋"/>
          <w:bCs/>
          <w:color w:val="auto"/>
          <w:spacing w:val="0"/>
          <w:sz w:val="30"/>
          <w:szCs w:val="30"/>
          <w:lang w:eastAsia="zh-CN"/>
        </w:rPr>
        <w:t>，</w:t>
      </w:r>
      <w:r>
        <w:rPr>
          <w:rFonts w:hint="eastAsia" w:ascii="仿宋" w:hAnsi="仿宋" w:eastAsia="仿宋" w:cs="仿宋"/>
          <w:bCs/>
          <w:color w:val="auto"/>
          <w:spacing w:val="0"/>
          <w:sz w:val="30"/>
          <w:szCs w:val="30"/>
          <w:lang w:val="en-US" w:eastAsia="zh-CN"/>
        </w:rPr>
        <w:t>特开设本专题。</w:t>
      </w:r>
    </w:p>
    <w:p>
      <w:pPr>
        <w:pStyle w:val="28"/>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课程内容：</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民法典的概述、制定及重要意义</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民法典基本规定权威解读</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重点与法律关系及特点</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民法典的构成要件、行为主体及责任方式</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民法典调整对象的基本原则及热点难点解析</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 xml:space="preserve">精选的民法典案例分析以及实务操作  </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民法典编撰争议问题的类型化分析</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color w:val="auto"/>
          <w:spacing w:val="0"/>
          <w:sz w:val="30"/>
          <w:szCs w:val="30"/>
        </w:rPr>
      </w:pPr>
      <w:r>
        <w:rPr>
          <w:rFonts w:hint="eastAsia" w:ascii="黑体" w:hAnsi="黑体" w:eastAsia="黑体" w:cs="黑体"/>
          <w:b/>
          <w:bCs/>
          <w:color w:val="auto"/>
          <w:spacing w:val="0"/>
          <w:sz w:val="30"/>
          <w:szCs w:val="30"/>
          <w:lang w:eastAsia="zh-CN"/>
        </w:rPr>
        <w:t>专题十：税务管理与筹划</w:t>
      </w:r>
    </w:p>
    <w:p>
      <w:pPr>
        <w:pStyle w:val="28"/>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专题介绍：</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仿宋" w:hAnsi="仿宋" w:eastAsia="仿宋" w:cs="仿宋"/>
          <w:b w:val="0"/>
          <w:bCs/>
          <w:color w:val="auto"/>
          <w:spacing w:val="0"/>
          <w:sz w:val="30"/>
          <w:szCs w:val="30"/>
          <w:lang w:val="en-US" w:eastAsia="zh-CN"/>
        </w:rPr>
      </w:pPr>
      <w:r>
        <w:rPr>
          <w:rFonts w:hint="eastAsia" w:ascii="仿宋" w:hAnsi="仿宋" w:eastAsia="仿宋" w:cs="仿宋"/>
          <w:b/>
          <w:color w:val="auto"/>
          <w:spacing w:val="0"/>
          <w:sz w:val="30"/>
          <w:szCs w:val="30"/>
          <w:lang w:val="en-US" w:eastAsia="zh-CN"/>
        </w:rPr>
        <w:t xml:space="preserve">   </w:t>
      </w:r>
      <w:r>
        <w:rPr>
          <w:rFonts w:hint="eastAsia" w:ascii="仿宋" w:hAnsi="仿宋" w:eastAsia="仿宋" w:cs="仿宋"/>
          <w:b w:val="0"/>
          <w:bCs/>
          <w:color w:val="auto"/>
          <w:spacing w:val="0"/>
          <w:sz w:val="30"/>
          <w:szCs w:val="30"/>
          <w:lang w:val="en-US" w:eastAsia="zh-CN"/>
        </w:rPr>
        <w:t xml:space="preserve">  财政部和国家税务总局先后出台一系列阶段性“减税降费”的政策，并推出史无前例的海南自贸港特殊税制，如何利用好这些政策并把握下一步税制改革的方向，是企业必须面对的重要课题。与此同时，“十四五”财税改革持续推进、金税三期的不断完善、国地税合并、税收大数据技术的不断进步为税源管理、涉税稽查、调查取证等提供了重要支撑，企业将面临更高的税收风险。该专题为进一步帮助企业了解“减税降费”政策和税制改革趋势，充分享受优惠并加强税务合规，把握税务稽查新动向，熟悉应对税务稽查的方略，防控企业税收风险。</w:t>
      </w:r>
    </w:p>
    <w:p>
      <w:pPr>
        <w:pStyle w:val="28"/>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课程内容：</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left="420"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系统分析“十四五”热点税务政策，洞悉税制改革趋势</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left="420"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深入了解税务稽查风险，打造灵活多样的税收筹划平台</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left="420"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结合案例全面解读增值税、所得税等主要税种，防范涉税风险</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color w:val="auto"/>
          <w:spacing w:val="0"/>
          <w:sz w:val="30"/>
          <w:szCs w:val="30"/>
          <w:lang w:eastAsia="zh-CN"/>
        </w:rPr>
      </w:pPr>
      <w:r>
        <w:rPr>
          <w:rFonts w:hint="eastAsia" w:ascii="黑体" w:hAnsi="黑体" w:eastAsia="黑体" w:cs="黑体"/>
          <w:b/>
          <w:bCs/>
          <w:color w:val="auto"/>
          <w:spacing w:val="0"/>
          <w:sz w:val="30"/>
          <w:szCs w:val="30"/>
          <w:lang w:eastAsia="zh-CN"/>
        </w:rPr>
        <w:t>专题十一：企业最新会计准则调整与实务应用</w:t>
      </w:r>
    </w:p>
    <w:p>
      <w:pPr>
        <w:pStyle w:val="28"/>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color w:val="auto"/>
          <w:spacing w:val="0"/>
          <w:sz w:val="30"/>
          <w:szCs w:val="30"/>
        </w:rPr>
      </w:pPr>
      <w:r>
        <w:rPr>
          <w:rFonts w:hint="eastAsia" w:ascii="楷体" w:hAnsi="楷体" w:eastAsia="楷体" w:cs="楷体"/>
          <w:b/>
          <w:color w:val="auto"/>
          <w:spacing w:val="0"/>
          <w:sz w:val="30"/>
          <w:szCs w:val="30"/>
        </w:rPr>
        <w:t>专题介绍：</w:t>
      </w:r>
    </w:p>
    <w:p>
      <w:pPr>
        <w:pStyle w:val="28"/>
        <w:keepNext w:val="0"/>
        <w:keepLines w:val="0"/>
        <w:pageBreakBefore w:val="0"/>
        <w:numPr>
          <w:ilvl w:val="0"/>
          <w:numId w:val="0"/>
        </w:numPr>
        <w:kinsoku/>
        <w:wordWrap/>
        <w:overflowPunct/>
        <w:topLinePunct w:val="0"/>
        <w:autoSpaceDE/>
        <w:autoSpaceDN/>
        <w:bidi w:val="0"/>
        <w:adjustRightInd/>
        <w:snapToGrid/>
        <w:spacing w:line="560" w:lineRule="exact"/>
        <w:ind w:firstLine="614" w:firstLineChars="200"/>
        <w:textAlignment w:val="auto"/>
        <w:rPr>
          <w:rFonts w:hint="eastAsia" w:ascii="楷体" w:hAnsi="楷体" w:eastAsia="楷体" w:cs="楷体"/>
          <w:b w:val="0"/>
          <w:bCs/>
          <w:color w:val="auto"/>
          <w:spacing w:val="0"/>
          <w:sz w:val="30"/>
          <w:szCs w:val="30"/>
        </w:rPr>
      </w:pPr>
      <w:r>
        <w:rPr>
          <w:rFonts w:hint="eastAsia" w:ascii="仿宋" w:hAnsi="仿宋" w:eastAsia="仿宋" w:cs="仿宋"/>
          <w:b w:val="0"/>
          <w:bCs/>
          <w:color w:val="auto"/>
          <w:spacing w:val="0"/>
          <w:sz w:val="30"/>
          <w:szCs w:val="30"/>
        </w:rPr>
        <w:t>2017-2019年，财政部修订发布了新三大会计准则，包括收入准则、金融工具系列准则、租赁准则，以及政府补助准则、持有待售和终止经营准则、非货币性资产交换准则、债务重组准则等一系列具体会计准则及应用指南，为企业相关业务的核算提供了全新的方法。从2021年开始，新三大准则在所有类型企业进入执行层面，充分认识和有效把握会计准则的变化与发展趋势，对于提高财务报</w:t>
      </w:r>
      <w:r>
        <w:rPr>
          <w:rFonts w:hint="eastAsia" w:ascii="楷体" w:hAnsi="楷体" w:eastAsia="楷体" w:cs="楷体"/>
          <w:b w:val="0"/>
          <w:bCs/>
          <w:color w:val="auto"/>
          <w:spacing w:val="0"/>
          <w:sz w:val="30"/>
          <w:szCs w:val="30"/>
        </w:rPr>
        <w:t>告信息质量和辅助企业经营决策都有十分重要的意义。</w:t>
      </w:r>
    </w:p>
    <w:p>
      <w:pPr>
        <w:pStyle w:val="28"/>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color w:val="auto"/>
          <w:spacing w:val="0"/>
          <w:sz w:val="30"/>
          <w:szCs w:val="30"/>
          <w:lang w:eastAsia="zh-CN"/>
        </w:rPr>
      </w:pPr>
      <w:r>
        <w:rPr>
          <w:rFonts w:hint="eastAsia" w:ascii="楷体" w:hAnsi="楷体" w:eastAsia="楷体" w:cs="楷体"/>
          <w:b/>
          <w:color w:val="auto"/>
          <w:spacing w:val="0"/>
          <w:sz w:val="30"/>
          <w:szCs w:val="30"/>
        </w:rPr>
        <w:t>课程内容：</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新收入准则解读和实务操作</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新金融工具准则解读和实务操作</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新租赁准则解读和实务操作</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企业并购与重组相关准则解读和实务操作</w:t>
      </w:r>
    </w:p>
    <w:p>
      <w:pPr>
        <w:keepNext w:val="0"/>
        <w:keepLines w:val="0"/>
        <w:pageBreakBefore w:val="0"/>
        <w:widowControl/>
        <w:numPr>
          <w:ilvl w:val="0"/>
          <w:numId w:val="10"/>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其他新修订和发布准则解读和实务操作</w:t>
      </w:r>
    </w:p>
    <w:p>
      <w:pPr>
        <w:keepNext w:val="0"/>
        <w:keepLines w:val="0"/>
        <w:pageBreakBefore w:val="0"/>
        <w:kinsoku/>
        <w:overflowPunct/>
        <w:topLinePunct w:val="0"/>
        <w:autoSpaceDE/>
        <w:autoSpaceDN/>
        <w:bidi w:val="0"/>
        <w:adjustRightInd/>
        <w:spacing w:line="560" w:lineRule="exact"/>
        <w:textAlignment w:val="auto"/>
        <w:rPr>
          <w:rFonts w:hint="eastAsia" w:ascii="仿宋" w:hAnsi="仿宋" w:eastAsia="仿宋" w:cs="仿宋"/>
          <w:b/>
          <w:bCs/>
          <w:color w:val="auto"/>
          <w:sz w:val="24"/>
          <w:szCs w:val="24"/>
        </w:rPr>
      </w:pPr>
      <w:bookmarkStart w:id="0" w:name="_GoBack"/>
      <w:bookmarkEnd w:id="0"/>
    </w:p>
    <w:sectPr>
      <w:footerReference r:id="rId6" w:type="first"/>
      <w:headerReference r:id="rId3" w:type="default"/>
      <w:footerReference r:id="rId4" w:type="default"/>
      <w:footerReference r:id="rId5" w:type="even"/>
      <w:pgSz w:w="11906" w:h="16838"/>
      <w:pgMar w:top="1458" w:right="1474" w:bottom="1620" w:left="1587" w:header="1191" w:footer="1191" w:gutter="0"/>
      <w:pgBorders>
        <w:top w:val="none" w:sz="0" w:space="0"/>
        <w:left w:val="none" w:sz="0" w:space="0"/>
        <w:bottom w:val="none" w:sz="0" w:space="0"/>
        <w:right w:val="none" w:sz="0" w:space="0"/>
      </w:pgBorders>
      <w:pgNumType w:fmt="decimal"/>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0A6CFA-E8BC-4931-9580-31C954E25F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2DC551BE-B80E-45E9-A3BD-9C9E9C223F16}"/>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embedRegular r:id="rId3" w:fontKey="{85D65E08-05AD-4093-9D5D-C412344C3FC8}"/>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Fonts w:hint="eastAsia" w:eastAsia="仿宋"/>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D6A547"/>
    <w:multiLevelType w:val="singleLevel"/>
    <w:tmpl w:val="D7D6A547"/>
    <w:lvl w:ilvl="0" w:tentative="0">
      <w:start w:val="1"/>
      <w:numFmt w:val="chineseCounting"/>
      <w:suff w:val="nothing"/>
      <w:lvlText w:val="（%1）"/>
      <w:lvlJc w:val="left"/>
      <w:rPr>
        <w:rFonts w:hint="eastAsia"/>
      </w:rPr>
    </w:lvl>
  </w:abstractNum>
  <w:abstractNum w:abstractNumId="1">
    <w:nsid w:val="FB3BF929"/>
    <w:multiLevelType w:val="singleLevel"/>
    <w:tmpl w:val="FB3BF929"/>
    <w:lvl w:ilvl="0" w:tentative="0">
      <w:start w:val="1"/>
      <w:numFmt w:val="chineseCounting"/>
      <w:suff w:val="nothing"/>
      <w:lvlText w:val="（%1）"/>
      <w:lvlJc w:val="left"/>
      <w:rPr>
        <w:rFonts w:hint="eastAsia"/>
      </w:rPr>
    </w:lvl>
  </w:abstractNum>
  <w:abstractNum w:abstractNumId="2">
    <w:nsid w:val="FF8DDF21"/>
    <w:multiLevelType w:val="singleLevel"/>
    <w:tmpl w:val="FF8DDF21"/>
    <w:lvl w:ilvl="0" w:tentative="0">
      <w:start w:val="1"/>
      <w:numFmt w:val="chineseCounting"/>
      <w:suff w:val="nothing"/>
      <w:lvlText w:val="（%1）"/>
      <w:lvlJc w:val="left"/>
      <w:rPr>
        <w:rFonts w:hint="eastAsia"/>
      </w:rPr>
    </w:lvl>
  </w:abstractNum>
  <w:abstractNum w:abstractNumId="3">
    <w:nsid w:val="136141A7"/>
    <w:multiLevelType w:val="singleLevel"/>
    <w:tmpl w:val="136141A7"/>
    <w:lvl w:ilvl="0" w:tentative="0">
      <w:start w:val="1"/>
      <w:numFmt w:val="chineseCounting"/>
      <w:suff w:val="nothing"/>
      <w:lvlText w:val="（%1）"/>
      <w:lvlJc w:val="left"/>
      <w:pPr>
        <w:ind w:left="0" w:firstLine="420"/>
      </w:pPr>
      <w:rPr>
        <w:rFonts w:hint="eastAsia"/>
      </w:rPr>
    </w:lvl>
  </w:abstractNum>
  <w:abstractNum w:abstractNumId="4">
    <w:nsid w:val="24DCF24B"/>
    <w:multiLevelType w:val="singleLevel"/>
    <w:tmpl w:val="24DCF24B"/>
    <w:lvl w:ilvl="0" w:tentative="0">
      <w:start w:val="1"/>
      <w:numFmt w:val="chineseCounting"/>
      <w:suff w:val="nothing"/>
      <w:lvlText w:val="（%1）"/>
      <w:lvlJc w:val="left"/>
      <w:rPr>
        <w:rFonts w:hint="eastAsia"/>
      </w:rPr>
    </w:lvl>
  </w:abstractNum>
  <w:abstractNum w:abstractNumId="5">
    <w:nsid w:val="4D733A67"/>
    <w:multiLevelType w:val="singleLevel"/>
    <w:tmpl w:val="4D733A67"/>
    <w:lvl w:ilvl="0" w:tentative="0">
      <w:start w:val="1"/>
      <w:numFmt w:val="chineseCounting"/>
      <w:suff w:val="nothing"/>
      <w:lvlText w:val="（%1）"/>
      <w:lvlJc w:val="left"/>
      <w:rPr>
        <w:rFonts w:hint="eastAsia"/>
      </w:rPr>
    </w:lvl>
  </w:abstractNum>
  <w:abstractNum w:abstractNumId="6">
    <w:nsid w:val="5A00110A"/>
    <w:multiLevelType w:val="singleLevel"/>
    <w:tmpl w:val="5A00110A"/>
    <w:lvl w:ilvl="0" w:tentative="0">
      <w:start w:val="1"/>
      <w:numFmt w:val="bullet"/>
      <w:lvlText w:val=""/>
      <w:lvlJc w:val="left"/>
      <w:pPr>
        <w:ind w:left="420" w:hanging="420"/>
      </w:pPr>
      <w:rPr>
        <w:rFonts w:hint="default" w:ascii="Wingdings" w:hAnsi="Wingdings"/>
      </w:rPr>
    </w:lvl>
  </w:abstractNum>
  <w:abstractNum w:abstractNumId="7">
    <w:nsid w:val="5A001242"/>
    <w:multiLevelType w:val="singleLevel"/>
    <w:tmpl w:val="5A001242"/>
    <w:lvl w:ilvl="0" w:tentative="0">
      <w:start w:val="1"/>
      <w:numFmt w:val="bullet"/>
      <w:lvlText w:val=""/>
      <w:lvlJc w:val="left"/>
      <w:pPr>
        <w:ind w:left="420" w:hanging="420"/>
      </w:pPr>
      <w:rPr>
        <w:rFonts w:hint="default" w:ascii="Wingdings" w:hAnsi="Wingdings"/>
      </w:rPr>
    </w:lvl>
  </w:abstractNum>
  <w:abstractNum w:abstractNumId="8">
    <w:nsid w:val="5A001444"/>
    <w:multiLevelType w:val="singleLevel"/>
    <w:tmpl w:val="5A001444"/>
    <w:lvl w:ilvl="0" w:tentative="0">
      <w:start w:val="1"/>
      <w:numFmt w:val="bullet"/>
      <w:lvlText w:val=""/>
      <w:lvlJc w:val="left"/>
      <w:pPr>
        <w:ind w:left="420" w:hanging="420"/>
      </w:pPr>
      <w:rPr>
        <w:rFonts w:hint="default" w:ascii="Wingdings" w:hAnsi="Wingdings"/>
      </w:rPr>
    </w:lvl>
  </w:abstractNum>
  <w:abstractNum w:abstractNumId="9">
    <w:nsid w:val="5D5D8E28"/>
    <w:multiLevelType w:val="singleLevel"/>
    <w:tmpl w:val="5D5D8E28"/>
    <w:lvl w:ilvl="0" w:tentative="0">
      <w:start w:val="1"/>
      <w:numFmt w:val="chineseCounting"/>
      <w:suff w:val="nothing"/>
      <w:lvlText w:val="（%1）"/>
      <w:lvlJc w:val="left"/>
      <w:pPr>
        <w:ind w:left="0" w:firstLine="420"/>
      </w:pPr>
      <w:rPr>
        <w:rFonts w:hint="eastAsia"/>
      </w:rPr>
    </w:lvl>
  </w:abstractNum>
  <w:abstractNum w:abstractNumId="10">
    <w:nsid w:val="67A4B963"/>
    <w:multiLevelType w:val="singleLevel"/>
    <w:tmpl w:val="67A4B963"/>
    <w:lvl w:ilvl="0" w:tentative="0">
      <w:start w:val="1"/>
      <w:numFmt w:val="chineseCounting"/>
      <w:suff w:val="nothing"/>
      <w:lvlText w:val="（%1）"/>
      <w:lvlJc w:val="left"/>
      <w:rPr>
        <w:rFonts w:hint="eastAsia"/>
      </w:rPr>
    </w:lvl>
  </w:abstractNum>
  <w:abstractNum w:abstractNumId="11">
    <w:nsid w:val="68FDD4CE"/>
    <w:multiLevelType w:val="singleLevel"/>
    <w:tmpl w:val="68FDD4CE"/>
    <w:lvl w:ilvl="0" w:tentative="0">
      <w:start w:val="1"/>
      <w:numFmt w:val="chineseCounting"/>
      <w:suff w:val="nothing"/>
      <w:lvlText w:val="（%1）"/>
      <w:lvlJc w:val="left"/>
      <w:pPr>
        <w:ind w:left="0" w:firstLine="420"/>
      </w:pPr>
      <w:rPr>
        <w:rFonts w:hint="eastAsia"/>
      </w:rPr>
    </w:lvl>
  </w:abstractNum>
  <w:abstractNum w:abstractNumId="12">
    <w:nsid w:val="6A9D5993"/>
    <w:multiLevelType w:val="singleLevel"/>
    <w:tmpl w:val="6A9D5993"/>
    <w:lvl w:ilvl="0" w:tentative="0">
      <w:start w:val="1"/>
      <w:numFmt w:val="chineseCounting"/>
      <w:suff w:val="nothing"/>
      <w:lvlText w:val="（%1）"/>
      <w:lvlJc w:val="left"/>
      <w:rPr>
        <w:rFonts w:hint="eastAsia"/>
      </w:rPr>
    </w:lvl>
  </w:abstractNum>
  <w:abstractNum w:abstractNumId="13">
    <w:nsid w:val="7E90C586"/>
    <w:multiLevelType w:val="singleLevel"/>
    <w:tmpl w:val="7E90C586"/>
    <w:lvl w:ilvl="0" w:tentative="0">
      <w:start w:val="1"/>
      <w:numFmt w:val="chineseCounting"/>
      <w:suff w:val="nothing"/>
      <w:lvlText w:val="（%1）"/>
      <w:lvlJc w:val="left"/>
      <w:rPr>
        <w:rFonts w:hint="eastAsia"/>
      </w:rPr>
    </w:lvl>
  </w:abstractNum>
  <w:num w:numId="1">
    <w:abstractNumId w:val="13"/>
  </w:num>
  <w:num w:numId="2">
    <w:abstractNumId w:val="6"/>
  </w:num>
  <w:num w:numId="3">
    <w:abstractNumId w:val="12"/>
  </w:num>
  <w:num w:numId="4">
    <w:abstractNumId w:val="4"/>
  </w:num>
  <w:num w:numId="5">
    <w:abstractNumId w:val="2"/>
  </w:num>
  <w:num w:numId="6">
    <w:abstractNumId w:val="7"/>
  </w:num>
  <w:num w:numId="7">
    <w:abstractNumId w:val="1"/>
  </w:num>
  <w:num w:numId="8">
    <w:abstractNumId w:val="5"/>
  </w:num>
  <w:num w:numId="9">
    <w:abstractNumId w:val="10"/>
  </w:num>
  <w:num w:numId="10">
    <w:abstractNumId w:val="8"/>
  </w:num>
  <w:num w:numId="11">
    <w:abstractNumId w:val="0"/>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64"/>
  <w:drawingGridVerticalSpacing w:val="22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MDQ5MGZjNzI0ZmY3MmYwOGQ3MTg3NGVmOGJlMDAifQ=="/>
  </w:docVars>
  <w:rsids>
    <w:rsidRoot w:val="009B183B"/>
    <w:rsid w:val="00001EE8"/>
    <w:rsid w:val="000035EE"/>
    <w:rsid w:val="00004602"/>
    <w:rsid w:val="00004C63"/>
    <w:rsid w:val="00007441"/>
    <w:rsid w:val="000075CC"/>
    <w:rsid w:val="0001080F"/>
    <w:rsid w:val="00012146"/>
    <w:rsid w:val="00013213"/>
    <w:rsid w:val="0001386D"/>
    <w:rsid w:val="00013F85"/>
    <w:rsid w:val="000165FD"/>
    <w:rsid w:val="000202F9"/>
    <w:rsid w:val="00020BAF"/>
    <w:rsid w:val="000222F7"/>
    <w:rsid w:val="00022FDC"/>
    <w:rsid w:val="00024B71"/>
    <w:rsid w:val="00024BFD"/>
    <w:rsid w:val="0002513F"/>
    <w:rsid w:val="000258F4"/>
    <w:rsid w:val="00026613"/>
    <w:rsid w:val="0002685A"/>
    <w:rsid w:val="00026EAD"/>
    <w:rsid w:val="000275DF"/>
    <w:rsid w:val="00027603"/>
    <w:rsid w:val="000321E0"/>
    <w:rsid w:val="00032EA6"/>
    <w:rsid w:val="00033695"/>
    <w:rsid w:val="000358F3"/>
    <w:rsid w:val="000362DF"/>
    <w:rsid w:val="00036D09"/>
    <w:rsid w:val="00037DF7"/>
    <w:rsid w:val="00041E2B"/>
    <w:rsid w:val="00042299"/>
    <w:rsid w:val="00042493"/>
    <w:rsid w:val="00042F91"/>
    <w:rsid w:val="000442C6"/>
    <w:rsid w:val="000451FA"/>
    <w:rsid w:val="00045486"/>
    <w:rsid w:val="0004626D"/>
    <w:rsid w:val="00051505"/>
    <w:rsid w:val="0005194D"/>
    <w:rsid w:val="000522A6"/>
    <w:rsid w:val="00052AFF"/>
    <w:rsid w:val="00053C28"/>
    <w:rsid w:val="00060E2C"/>
    <w:rsid w:val="0006513C"/>
    <w:rsid w:val="0006553E"/>
    <w:rsid w:val="00067AF2"/>
    <w:rsid w:val="00067F33"/>
    <w:rsid w:val="00070EA9"/>
    <w:rsid w:val="000714B8"/>
    <w:rsid w:val="000716EF"/>
    <w:rsid w:val="00072138"/>
    <w:rsid w:val="00073989"/>
    <w:rsid w:val="000741B0"/>
    <w:rsid w:val="000747B4"/>
    <w:rsid w:val="00080E05"/>
    <w:rsid w:val="00081401"/>
    <w:rsid w:val="0008214F"/>
    <w:rsid w:val="000846FD"/>
    <w:rsid w:val="00084A19"/>
    <w:rsid w:val="000866F6"/>
    <w:rsid w:val="0008677A"/>
    <w:rsid w:val="00087CBA"/>
    <w:rsid w:val="00087E2D"/>
    <w:rsid w:val="00090492"/>
    <w:rsid w:val="0009117F"/>
    <w:rsid w:val="00094731"/>
    <w:rsid w:val="00094E53"/>
    <w:rsid w:val="00096616"/>
    <w:rsid w:val="000979FD"/>
    <w:rsid w:val="000A09A5"/>
    <w:rsid w:val="000A18A3"/>
    <w:rsid w:val="000A19F9"/>
    <w:rsid w:val="000A1B31"/>
    <w:rsid w:val="000A1D0C"/>
    <w:rsid w:val="000A35BD"/>
    <w:rsid w:val="000A38AF"/>
    <w:rsid w:val="000A3A63"/>
    <w:rsid w:val="000A5002"/>
    <w:rsid w:val="000A5AAD"/>
    <w:rsid w:val="000A5AE8"/>
    <w:rsid w:val="000B0DC1"/>
    <w:rsid w:val="000B2C14"/>
    <w:rsid w:val="000B3A75"/>
    <w:rsid w:val="000B54AF"/>
    <w:rsid w:val="000B5B06"/>
    <w:rsid w:val="000B5D34"/>
    <w:rsid w:val="000B725A"/>
    <w:rsid w:val="000C034A"/>
    <w:rsid w:val="000C11AE"/>
    <w:rsid w:val="000C199B"/>
    <w:rsid w:val="000C35DE"/>
    <w:rsid w:val="000C37BB"/>
    <w:rsid w:val="000C50FB"/>
    <w:rsid w:val="000C55E2"/>
    <w:rsid w:val="000C6AE0"/>
    <w:rsid w:val="000C7A55"/>
    <w:rsid w:val="000D214C"/>
    <w:rsid w:val="000D2E11"/>
    <w:rsid w:val="000D3038"/>
    <w:rsid w:val="000D488F"/>
    <w:rsid w:val="000D7A42"/>
    <w:rsid w:val="000E0321"/>
    <w:rsid w:val="000E0579"/>
    <w:rsid w:val="000E2681"/>
    <w:rsid w:val="000E583A"/>
    <w:rsid w:val="000F0921"/>
    <w:rsid w:val="000F3A0F"/>
    <w:rsid w:val="000F4A27"/>
    <w:rsid w:val="000F68D6"/>
    <w:rsid w:val="000F7A29"/>
    <w:rsid w:val="00100DA0"/>
    <w:rsid w:val="0010216A"/>
    <w:rsid w:val="001024FC"/>
    <w:rsid w:val="00103A57"/>
    <w:rsid w:val="0010640F"/>
    <w:rsid w:val="0011132B"/>
    <w:rsid w:val="00111F41"/>
    <w:rsid w:val="00112184"/>
    <w:rsid w:val="001122B1"/>
    <w:rsid w:val="00116DD1"/>
    <w:rsid w:val="00117B33"/>
    <w:rsid w:val="00120C6D"/>
    <w:rsid w:val="00121924"/>
    <w:rsid w:val="00122228"/>
    <w:rsid w:val="00122BFC"/>
    <w:rsid w:val="00126A6E"/>
    <w:rsid w:val="00127238"/>
    <w:rsid w:val="001277C2"/>
    <w:rsid w:val="001324CA"/>
    <w:rsid w:val="0013331E"/>
    <w:rsid w:val="001348D8"/>
    <w:rsid w:val="001359C0"/>
    <w:rsid w:val="00136660"/>
    <w:rsid w:val="00137D69"/>
    <w:rsid w:val="00137DC8"/>
    <w:rsid w:val="0014132E"/>
    <w:rsid w:val="00143015"/>
    <w:rsid w:val="00144709"/>
    <w:rsid w:val="00144C7B"/>
    <w:rsid w:val="00146447"/>
    <w:rsid w:val="00146A65"/>
    <w:rsid w:val="00146B08"/>
    <w:rsid w:val="0014783D"/>
    <w:rsid w:val="001540AE"/>
    <w:rsid w:val="001552D8"/>
    <w:rsid w:val="00155377"/>
    <w:rsid w:val="00160263"/>
    <w:rsid w:val="00160D42"/>
    <w:rsid w:val="00163D27"/>
    <w:rsid w:val="00166EF7"/>
    <w:rsid w:val="00167A4B"/>
    <w:rsid w:val="001734C1"/>
    <w:rsid w:val="00173BAA"/>
    <w:rsid w:val="00173DFE"/>
    <w:rsid w:val="00174933"/>
    <w:rsid w:val="00180C3D"/>
    <w:rsid w:val="00182169"/>
    <w:rsid w:val="001823CF"/>
    <w:rsid w:val="001824D9"/>
    <w:rsid w:val="0018346D"/>
    <w:rsid w:val="001834F4"/>
    <w:rsid w:val="00183B37"/>
    <w:rsid w:val="00183C44"/>
    <w:rsid w:val="0018402B"/>
    <w:rsid w:val="00186078"/>
    <w:rsid w:val="00186137"/>
    <w:rsid w:val="00186AE1"/>
    <w:rsid w:val="00193513"/>
    <w:rsid w:val="00194167"/>
    <w:rsid w:val="00194250"/>
    <w:rsid w:val="00194AA7"/>
    <w:rsid w:val="001A00A5"/>
    <w:rsid w:val="001A027E"/>
    <w:rsid w:val="001A0BAC"/>
    <w:rsid w:val="001A1C84"/>
    <w:rsid w:val="001A202E"/>
    <w:rsid w:val="001A5F20"/>
    <w:rsid w:val="001A645A"/>
    <w:rsid w:val="001A6C06"/>
    <w:rsid w:val="001A7878"/>
    <w:rsid w:val="001A7BD9"/>
    <w:rsid w:val="001A7D81"/>
    <w:rsid w:val="001B0107"/>
    <w:rsid w:val="001B2586"/>
    <w:rsid w:val="001B27C0"/>
    <w:rsid w:val="001B4146"/>
    <w:rsid w:val="001B4532"/>
    <w:rsid w:val="001B7ECD"/>
    <w:rsid w:val="001C044C"/>
    <w:rsid w:val="001C1087"/>
    <w:rsid w:val="001C2E2E"/>
    <w:rsid w:val="001C3BF7"/>
    <w:rsid w:val="001C43F6"/>
    <w:rsid w:val="001C4846"/>
    <w:rsid w:val="001C6017"/>
    <w:rsid w:val="001C6925"/>
    <w:rsid w:val="001C7165"/>
    <w:rsid w:val="001C7E4B"/>
    <w:rsid w:val="001D09B6"/>
    <w:rsid w:val="001D164F"/>
    <w:rsid w:val="001D256C"/>
    <w:rsid w:val="001D43AC"/>
    <w:rsid w:val="001D443D"/>
    <w:rsid w:val="001D4E73"/>
    <w:rsid w:val="001D51C0"/>
    <w:rsid w:val="001D52E8"/>
    <w:rsid w:val="001D62A0"/>
    <w:rsid w:val="001D6D56"/>
    <w:rsid w:val="001D6DCA"/>
    <w:rsid w:val="001D741B"/>
    <w:rsid w:val="001D7992"/>
    <w:rsid w:val="001E1D04"/>
    <w:rsid w:val="001E28B0"/>
    <w:rsid w:val="001E3F89"/>
    <w:rsid w:val="001E447E"/>
    <w:rsid w:val="001E5014"/>
    <w:rsid w:val="001E7C7F"/>
    <w:rsid w:val="001E7D65"/>
    <w:rsid w:val="001F12F2"/>
    <w:rsid w:val="001F2921"/>
    <w:rsid w:val="001F3265"/>
    <w:rsid w:val="001F3EAA"/>
    <w:rsid w:val="001F4525"/>
    <w:rsid w:val="001F46FB"/>
    <w:rsid w:val="001F52A4"/>
    <w:rsid w:val="001F74BD"/>
    <w:rsid w:val="002002BB"/>
    <w:rsid w:val="00200A5A"/>
    <w:rsid w:val="00202825"/>
    <w:rsid w:val="00203913"/>
    <w:rsid w:val="00203A32"/>
    <w:rsid w:val="0020413F"/>
    <w:rsid w:val="00205F58"/>
    <w:rsid w:val="0020617E"/>
    <w:rsid w:val="00206516"/>
    <w:rsid w:val="00210244"/>
    <w:rsid w:val="00210329"/>
    <w:rsid w:val="00210C98"/>
    <w:rsid w:val="00212B74"/>
    <w:rsid w:val="0021323D"/>
    <w:rsid w:val="00214992"/>
    <w:rsid w:val="00215104"/>
    <w:rsid w:val="0021524F"/>
    <w:rsid w:val="002152DD"/>
    <w:rsid w:val="00215C2A"/>
    <w:rsid w:val="00216289"/>
    <w:rsid w:val="00223B58"/>
    <w:rsid w:val="002241DD"/>
    <w:rsid w:val="0022518B"/>
    <w:rsid w:val="00225C0F"/>
    <w:rsid w:val="002271D5"/>
    <w:rsid w:val="00227251"/>
    <w:rsid w:val="0023012A"/>
    <w:rsid w:val="0023168F"/>
    <w:rsid w:val="00233FCA"/>
    <w:rsid w:val="00234FC5"/>
    <w:rsid w:val="00235363"/>
    <w:rsid w:val="00235472"/>
    <w:rsid w:val="00236044"/>
    <w:rsid w:val="00236C76"/>
    <w:rsid w:val="00236F46"/>
    <w:rsid w:val="002400A8"/>
    <w:rsid w:val="002440C0"/>
    <w:rsid w:val="0024740D"/>
    <w:rsid w:val="00250EC1"/>
    <w:rsid w:val="00252419"/>
    <w:rsid w:val="0025308B"/>
    <w:rsid w:val="00254B07"/>
    <w:rsid w:val="00256003"/>
    <w:rsid w:val="00256FA1"/>
    <w:rsid w:val="00257D0E"/>
    <w:rsid w:val="00257E05"/>
    <w:rsid w:val="0026090E"/>
    <w:rsid w:val="00262450"/>
    <w:rsid w:val="002628F6"/>
    <w:rsid w:val="002638A1"/>
    <w:rsid w:val="002662A5"/>
    <w:rsid w:val="00267EB0"/>
    <w:rsid w:val="00270A2C"/>
    <w:rsid w:val="00270F46"/>
    <w:rsid w:val="00271870"/>
    <w:rsid w:val="00273257"/>
    <w:rsid w:val="00275980"/>
    <w:rsid w:val="00275D72"/>
    <w:rsid w:val="0027730A"/>
    <w:rsid w:val="0027734C"/>
    <w:rsid w:val="00280918"/>
    <w:rsid w:val="0028166C"/>
    <w:rsid w:val="0028198D"/>
    <w:rsid w:val="002819F4"/>
    <w:rsid w:val="002822F3"/>
    <w:rsid w:val="0028349D"/>
    <w:rsid w:val="002900A0"/>
    <w:rsid w:val="00290411"/>
    <w:rsid w:val="00290553"/>
    <w:rsid w:val="00291A64"/>
    <w:rsid w:val="00292008"/>
    <w:rsid w:val="00294156"/>
    <w:rsid w:val="00295528"/>
    <w:rsid w:val="00297A56"/>
    <w:rsid w:val="002A02A6"/>
    <w:rsid w:val="002A11E4"/>
    <w:rsid w:val="002A2097"/>
    <w:rsid w:val="002A2212"/>
    <w:rsid w:val="002A3477"/>
    <w:rsid w:val="002A3D82"/>
    <w:rsid w:val="002B2226"/>
    <w:rsid w:val="002B27F6"/>
    <w:rsid w:val="002B2AAB"/>
    <w:rsid w:val="002B3868"/>
    <w:rsid w:val="002B436D"/>
    <w:rsid w:val="002B5562"/>
    <w:rsid w:val="002B5A0D"/>
    <w:rsid w:val="002B7397"/>
    <w:rsid w:val="002C0C9A"/>
    <w:rsid w:val="002C1060"/>
    <w:rsid w:val="002C1426"/>
    <w:rsid w:val="002C2089"/>
    <w:rsid w:val="002C220C"/>
    <w:rsid w:val="002C290E"/>
    <w:rsid w:val="002C5AA4"/>
    <w:rsid w:val="002C6465"/>
    <w:rsid w:val="002D06C4"/>
    <w:rsid w:val="002D182E"/>
    <w:rsid w:val="002D1850"/>
    <w:rsid w:val="002D263F"/>
    <w:rsid w:val="002D2821"/>
    <w:rsid w:val="002D28F3"/>
    <w:rsid w:val="002D3392"/>
    <w:rsid w:val="002D3EEB"/>
    <w:rsid w:val="002D4DA5"/>
    <w:rsid w:val="002D70B5"/>
    <w:rsid w:val="002E050D"/>
    <w:rsid w:val="002E0AD6"/>
    <w:rsid w:val="002E1FEE"/>
    <w:rsid w:val="002E211F"/>
    <w:rsid w:val="002E22D5"/>
    <w:rsid w:val="002E2DC3"/>
    <w:rsid w:val="002E3082"/>
    <w:rsid w:val="002E30B2"/>
    <w:rsid w:val="002E3627"/>
    <w:rsid w:val="002E4F57"/>
    <w:rsid w:val="002E5588"/>
    <w:rsid w:val="002E6146"/>
    <w:rsid w:val="002E703A"/>
    <w:rsid w:val="002F123F"/>
    <w:rsid w:val="002F2B44"/>
    <w:rsid w:val="002F2BA8"/>
    <w:rsid w:val="002F4854"/>
    <w:rsid w:val="002F50F9"/>
    <w:rsid w:val="002F649C"/>
    <w:rsid w:val="002F6DBB"/>
    <w:rsid w:val="00301C1F"/>
    <w:rsid w:val="00302435"/>
    <w:rsid w:val="00303126"/>
    <w:rsid w:val="0030663F"/>
    <w:rsid w:val="00307B43"/>
    <w:rsid w:val="0031006D"/>
    <w:rsid w:val="00310D48"/>
    <w:rsid w:val="00311939"/>
    <w:rsid w:val="00312A62"/>
    <w:rsid w:val="003139CC"/>
    <w:rsid w:val="00315FA2"/>
    <w:rsid w:val="00316B2F"/>
    <w:rsid w:val="00320175"/>
    <w:rsid w:val="00320719"/>
    <w:rsid w:val="00320AE2"/>
    <w:rsid w:val="003210B7"/>
    <w:rsid w:val="00321B79"/>
    <w:rsid w:val="00322293"/>
    <w:rsid w:val="003244A3"/>
    <w:rsid w:val="00325400"/>
    <w:rsid w:val="003261C9"/>
    <w:rsid w:val="00326448"/>
    <w:rsid w:val="00326A72"/>
    <w:rsid w:val="00326CB9"/>
    <w:rsid w:val="00326F8D"/>
    <w:rsid w:val="003314BE"/>
    <w:rsid w:val="003316D4"/>
    <w:rsid w:val="00331FEE"/>
    <w:rsid w:val="0033289E"/>
    <w:rsid w:val="00333B75"/>
    <w:rsid w:val="003343CA"/>
    <w:rsid w:val="00334EE4"/>
    <w:rsid w:val="00336207"/>
    <w:rsid w:val="00337CCF"/>
    <w:rsid w:val="00337F2D"/>
    <w:rsid w:val="00342834"/>
    <w:rsid w:val="00342BDE"/>
    <w:rsid w:val="00342C45"/>
    <w:rsid w:val="00347C8E"/>
    <w:rsid w:val="00351052"/>
    <w:rsid w:val="00351072"/>
    <w:rsid w:val="00351711"/>
    <w:rsid w:val="00355080"/>
    <w:rsid w:val="0035578D"/>
    <w:rsid w:val="00355978"/>
    <w:rsid w:val="00355E3E"/>
    <w:rsid w:val="00355E63"/>
    <w:rsid w:val="003571A3"/>
    <w:rsid w:val="00357C73"/>
    <w:rsid w:val="00360364"/>
    <w:rsid w:val="00360F19"/>
    <w:rsid w:val="003618EE"/>
    <w:rsid w:val="0036256A"/>
    <w:rsid w:val="00363D79"/>
    <w:rsid w:val="0036509C"/>
    <w:rsid w:val="00365311"/>
    <w:rsid w:val="003653CD"/>
    <w:rsid w:val="00366503"/>
    <w:rsid w:val="003669E5"/>
    <w:rsid w:val="00367F7F"/>
    <w:rsid w:val="00374AC8"/>
    <w:rsid w:val="003753AD"/>
    <w:rsid w:val="003754E1"/>
    <w:rsid w:val="00376A3B"/>
    <w:rsid w:val="003777F3"/>
    <w:rsid w:val="00377BB5"/>
    <w:rsid w:val="00380B8D"/>
    <w:rsid w:val="00380FDD"/>
    <w:rsid w:val="0038526A"/>
    <w:rsid w:val="003864EE"/>
    <w:rsid w:val="00387243"/>
    <w:rsid w:val="00387D3C"/>
    <w:rsid w:val="003906B7"/>
    <w:rsid w:val="003908EF"/>
    <w:rsid w:val="00392A7F"/>
    <w:rsid w:val="003939C0"/>
    <w:rsid w:val="003947F4"/>
    <w:rsid w:val="00394B2F"/>
    <w:rsid w:val="00395309"/>
    <w:rsid w:val="0039605B"/>
    <w:rsid w:val="0039630F"/>
    <w:rsid w:val="00396603"/>
    <w:rsid w:val="00396F2C"/>
    <w:rsid w:val="003A0585"/>
    <w:rsid w:val="003A0EEA"/>
    <w:rsid w:val="003A1199"/>
    <w:rsid w:val="003A19CC"/>
    <w:rsid w:val="003A2EFF"/>
    <w:rsid w:val="003A419A"/>
    <w:rsid w:val="003A47D6"/>
    <w:rsid w:val="003A4AE4"/>
    <w:rsid w:val="003A4BD2"/>
    <w:rsid w:val="003A4DB9"/>
    <w:rsid w:val="003A5215"/>
    <w:rsid w:val="003A64A3"/>
    <w:rsid w:val="003B27EB"/>
    <w:rsid w:val="003B5254"/>
    <w:rsid w:val="003B7D5B"/>
    <w:rsid w:val="003C4899"/>
    <w:rsid w:val="003C4A8C"/>
    <w:rsid w:val="003C53DA"/>
    <w:rsid w:val="003C7456"/>
    <w:rsid w:val="003D2C22"/>
    <w:rsid w:val="003D2C98"/>
    <w:rsid w:val="003D37EE"/>
    <w:rsid w:val="003D4FD7"/>
    <w:rsid w:val="003D50C6"/>
    <w:rsid w:val="003D5D2F"/>
    <w:rsid w:val="003D682A"/>
    <w:rsid w:val="003D68A0"/>
    <w:rsid w:val="003E0DE0"/>
    <w:rsid w:val="003E2568"/>
    <w:rsid w:val="003E4454"/>
    <w:rsid w:val="003E67A7"/>
    <w:rsid w:val="003E6F95"/>
    <w:rsid w:val="003F7414"/>
    <w:rsid w:val="003F7577"/>
    <w:rsid w:val="00400227"/>
    <w:rsid w:val="004010D2"/>
    <w:rsid w:val="0040278C"/>
    <w:rsid w:val="00402C73"/>
    <w:rsid w:val="00403396"/>
    <w:rsid w:val="00404460"/>
    <w:rsid w:val="004048DA"/>
    <w:rsid w:val="00404CAC"/>
    <w:rsid w:val="004068BC"/>
    <w:rsid w:val="0041043F"/>
    <w:rsid w:val="00414CBA"/>
    <w:rsid w:val="004154D5"/>
    <w:rsid w:val="00415E55"/>
    <w:rsid w:val="00415FE2"/>
    <w:rsid w:val="00420C6F"/>
    <w:rsid w:val="00420D0C"/>
    <w:rsid w:val="00423669"/>
    <w:rsid w:val="0042397D"/>
    <w:rsid w:val="00424004"/>
    <w:rsid w:val="0042483E"/>
    <w:rsid w:val="00424A45"/>
    <w:rsid w:val="0042637D"/>
    <w:rsid w:val="00426A66"/>
    <w:rsid w:val="004279E0"/>
    <w:rsid w:val="00431DD8"/>
    <w:rsid w:val="0043232C"/>
    <w:rsid w:val="00432CFF"/>
    <w:rsid w:val="004332DE"/>
    <w:rsid w:val="004363BB"/>
    <w:rsid w:val="00436766"/>
    <w:rsid w:val="00443895"/>
    <w:rsid w:val="00443A3A"/>
    <w:rsid w:val="00445088"/>
    <w:rsid w:val="004453D2"/>
    <w:rsid w:val="00447726"/>
    <w:rsid w:val="00450F33"/>
    <w:rsid w:val="00451B62"/>
    <w:rsid w:val="004522B1"/>
    <w:rsid w:val="004527AB"/>
    <w:rsid w:val="004565E9"/>
    <w:rsid w:val="0046022F"/>
    <w:rsid w:val="00461A7E"/>
    <w:rsid w:val="004622C8"/>
    <w:rsid w:val="00462CF4"/>
    <w:rsid w:val="00462EC7"/>
    <w:rsid w:val="00464258"/>
    <w:rsid w:val="004645D6"/>
    <w:rsid w:val="00465532"/>
    <w:rsid w:val="0046735A"/>
    <w:rsid w:val="0046769F"/>
    <w:rsid w:val="004709F0"/>
    <w:rsid w:val="00472AB8"/>
    <w:rsid w:val="00474409"/>
    <w:rsid w:val="0047468D"/>
    <w:rsid w:val="00477501"/>
    <w:rsid w:val="00477A1B"/>
    <w:rsid w:val="004815D4"/>
    <w:rsid w:val="00481B29"/>
    <w:rsid w:val="00485E2A"/>
    <w:rsid w:val="0049241C"/>
    <w:rsid w:val="00492F33"/>
    <w:rsid w:val="00493609"/>
    <w:rsid w:val="00495674"/>
    <w:rsid w:val="004960D5"/>
    <w:rsid w:val="0049614C"/>
    <w:rsid w:val="004970FB"/>
    <w:rsid w:val="004A129A"/>
    <w:rsid w:val="004A3A24"/>
    <w:rsid w:val="004A3D10"/>
    <w:rsid w:val="004A454B"/>
    <w:rsid w:val="004A4580"/>
    <w:rsid w:val="004A54B2"/>
    <w:rsid w:val="004A6375"/>
    <w:rsid w:val="004B033A"/>
    <w:rsid w:val="004B040B"/>
    <w:rsid w:val="004B0813"/>
    <w:rsid w:val="004B0EB8"/>
    <w:rsid w:val="004B3745"/>
    <w:rsid w:val="004B3B8B"/>
    <w:rsid w:val="004B3F23"/>
    <w:rsid w:val="004B4E0F"/>
    <w:rsid w:val="004B7101"/>
    <w:rsid w:val="004B72A0"/>
    <w:rsid w:val="004B74F5"/>
    <w:rsid w:val="004B755B"/>
    <w:rsid w:val="004B7C52"/>
    <w:rsid w:val="004C0062"/>
    <w:rsid w:val="004C1343"/>
    <w:rsid w:val="004C4170"/>
    <w:rsid w:val="004C5CE9"/>
    <w:rsid w:val="004C5D9E"/>
    <w:rsid w:val="004C6322"/>
    <w:rsid w:val="004C682D"/>
    <w:rsid w:val="004D1456"/>
    <w:rsid w:val="004D1EE4"/>
    <w:rsid w:val="004D2EAA"/>
    <w:rsid w:val="004D312F"/>
    <w:rsid w:val="004D3D06"/>
    <w:rsid w:val="004D4A30"/>
    <w:rsid w:val="004D5281"/>
    <w:rsid w:val="004D56EC"/>
    <w:rsid w:val="004D5E78"/>
    <w:rsid w:val="004D63DD"/>
    <w:rsid w:val="004D678E"/>
    <w:rsid w:val="004D726E"/>
    <w:rsid w:val="004E0CFD"/>
    <w:rsid w:val="004E3278"/>
    <w:rsid w:val="004E3DBB"/>
    <w:rsid w:val="004E4555"/>
    <w:rsid w:val="004E4E27"/>
    <w:rsid w:val="004E64F8"/>
    <w:rsid w:val="004E658B"/>
    <w:rsid w:val="004F0569"/>
    <w:rsid w:val="004F14A4"/>
    <w:rsid w:val="004F197D"/>
    <w:rsid w:val="004F1E76"/>
    <w:rsid w:val="004F27D7"/>
    <w:rsid w:val="004F2AA0"/>
    <w:rsid w:val="004F3833"/>
    <w:rsid w:val="004F55B5"/>
    <w:rsid w:val="004F6C18"/>
    <w:rsid w:val="004F6C33"/>
    <w:rsid w:val="004F703D"/>
    <w:rsid w:val="00500E1E"/>
    <w:rsid w:val="00501509"/>
    <w:rsid w:val="0050205A"/>
    <w:rsid w:val="005035E6"/>
    <w:rsid w:val="005050FC"/>
    <w:rsid w:val="005067C5"/>
    <w:rsid w:val="00506FE4"/>
    <w:rsid w:val="0051315F"/>
    <w:rsid w:val="0051386D"/>
    <w:rsid w:val="00513F63"/>
    <w:rsid w:val="00514601"/>
    <w:rsid w:val="00514D3B"/>
    <w:rsid w:val="00514DDC"/>
    <w:rsid w:val="00516649"/>
    <w:rsid w:val="00521480"/>
    <w:rsid w:val="0052453F"/>
    <w:rsid w:val="00525B65"/>
    <w:rsid w:val="0053076F"/>
    <w:rsid w:val="005310FA"/>
    <w:rsid w:val="0053150B"/>
    <w:rsid w:val="005322DD"/>
    <w:rsid w:val="00533905"/>
    <w:rsid w:val="005340DD"/>
    <w:rsid w:val="0053466E"/>
    <w:rsid w:val="00534B93"/>
    <w:rsid w:val="0053590A"/>
    <w:rsid w:val="005362D2"/>
    <w:rsid w:val="00537ECB"/>
    <w:rsid w:val="00540BB6"/>
    <w:rsid w:val="0054349C"/>
    <w:rsid w:val="0054370A"/>
    <w:rsid w:val="00543F97"/>
    <w:rsid w:val="00544C63"/>
    <w:rsid w:val="0055076B"/>
    <w:rsid w:val="0055391A"/>
    <w:rsid w:val="005546D9"/>
    <w:rsid w:val="005550AD"/>
    <w:rsid w:val="0055707E"/>
    <w:rsid w:val="00560165"/>
    <w:rsid w:val="00562CA0"/>
    <w:rsid w:val="005657D5"/>
    <w:rsid w:val="005660AF"/>
    <w:rsid w:val="00566A3A"/>
    <w:rsid w:val="00566DEA"/>
    <w:rsid w:val="00566DF1"/>
    <w:rsid w:val="0057146C"/>
    <w:rsid w:val="00573ADA"/>
    <w:rsid w:val="00574CAC"/>
    <w:rsid w:val="00574F19"/>
    <w:rsid w:val="00577CCE"/>
    <w:rsid w:val="00581204"/>
    <w:rsid w:val="00581FBE"/>
    <w:rsid w:val="00582ADD"/>
    <w:rsid w:val="005839E0"/>
    <w:rsid w:val="00586934"/>
    <w:rsid w:val="0059048A"/>
    <w:rsid w:val="00590D0E"/>
    <w:rsid w:val="00591355"/>
    <w:rsid w:val="00591E86"/>
    <w:rsid w:val="00593DBA"/>
    <w:rsid w:val="00593FA3"/>
    <w:rsid w:val="005948C4"/>
    <w:rsid w:val="00594A09"/>
    <w:rsid w:val="00594EDA"/>
    <w:rsid w:val="0059525B"/>
    <w:rsid w:val="00596383"/>
    <w:rsid w:val="00597AD8"/>
    <w:rsid w:val="00597ADB"/>
    <w:rsid w:val="005A1868"/>
    <w:rsid w:val="005A2B47"/>
    <w:rsid w:val="005A3068"/>
    <w:rsid w:val="005A43F2"/>
    <w:rsid w:val="005A509E"/>
    <w:rsid w:val="005A58A4"/>
    <w:rsid w:val="005B0DE3"/>
    <w:rsid w:val="005B1733"/>
    <w:rsid w:val="005B26CA"/>
    <w:rsid w:val="005B295F"/>
    <w:rsid w:val="005B57DE"/>
    <w:rsid w:val="005B6D7E"/>
    <w:rsid w:val="005B70C7"/>
    <w:rsid w:val="005B7145"/>
    <w:rsid w:val="005C088A"/>
    <w:rsid w:val="005C234B"/>
    <w:rsid w:val="005C3639"/>
    <w:rsid w:val="005C3857"/>
    <w:rsid w:val="005C5726"/>
    <w:rsid w:val="005C66D4"/>
    <w:rsid w:val="005C679F"/>
    <w:rsid w:val="005D02BA"/>
    <w:rsid w:val="005D1265"/>
    <w:rsid w:val="005D305E"/>
    <w:rsid w:val="005D47E2"/>
    <w:rsid w:val="005D50A9"/>
    <w:rsid w:val="005D5EC7"/>
    <w:rsid w:val="005D7533"/>
    <w:rsid w:val="005E10F6"/>
    <w:rsid w:val="005E2206"/>
    <w:rsid w:val="005E2676"/>
    <w:rsid w:val="005E2941"/>
    <w:rsid w:val="005E2A2D"/>
    <w:rsid w:val="005E3E21"/>
    <w:rsid w:val="005E4419"/>
    <w:rsid w:val="005E4E23"/>
    <w:rsid w:val="005E552A"/>
    <w:rsid w:val="005F0A4B"/>
    <w:rsid w:val="005F0DC2"/>
    <w:rsid w:val="005F33A1"/>
    <w:rsid w:val="005F412C"/>
    <w:rsid w:val="005F4C86"/>
    <w:rsid w:val="005F76EB"/>
    <w:rsid w:val="005F7C24"/>
    <w:rsid w:val="00600E0D"/>
    <w:rsid w:val="00601E1E"/>
    <w:rsid w:val="006032EE"/>
    <w:rsid w:val="006037B5"/>
    <w:rsid w:val="00604EDF"/>
    <w:rsid w:val="00604F46"/>
    <w:rsid w:val="00604F54"/>
    <w:rsid w:val="00606336"/>
    <w:rsid w:val="0061073D"/>
    <w:rsid w:val="00610B0B"/>
    <w:rsid w:val="00613AF7"/>
    <w:rsid w:val="0061544B"/>
    <w:rsid w:val="00616FCD"/>
    <w:rsid w:val="0062114B"/>
    <w:rsid w:val="006216BC"/>
    <w:rsid w:val="00622907"/>
    <w:rsid w:val="006238A7"/>
    <w:rsid w:val="00623A89"/>
    <w:rsid w:val="00623F47"/>
    <w:rsid w:val="00626831"/>
    <w:rsid w:val="00626AD4"/>
    <w:rsid w:val="006305AC"/>
    <w:rsid w:val="006309E8"/>
    <w:rsid w:val="00630AD7"/>
    <w:rsid w:val="00631318"/>
    <w:rsid w:val="00632E90"/>
    <w:rsid w:val="00636395"/>
    <w:rsid w:val="006404E6"/>
    <w:rsid w:val="00640918"/>
    <w:rsid w:val="00641CF6"/>
    <w:rsid w:val="0064274F"/>
    <w:rsid w:val="00642CF7"/>
    <w:rsid w:val="00643484"/>
    <w:rsid w:val="00646A3C"/>
    <w:rsid w:val="00646D37"/>
    <w:rsid w:val="00647090"/>
    <w:rsid w:val="00653670"/>
    <w:rsid w:val="0065443C"/>
    <w:rsid w:val="006546DB"/>
    <w:rsid w:val="006552DC"/>
    <w:rsid w:val="00655BB4"/>
    <w:rsid w:val="00655E47"/>
    <w:rsid w:val="00656457"/>
    <w:rsid w:val="00657AD3"/>
    <w:rsid w:val="006612EC"/>
    <w:rsid w:val="00661587"/>
    <w:rsid w:val="006628A8"/>
    <w:rsid w:val="00664943"/>
    <w:rsid w:val="00665ABB"/>
    <w:rsid w:val="00665F05"/>
    <w:rsid w:val="00667A00"/>
    <w:rsid w:val="00667FF6"/>
    <w:rsid w:val="006704CE"/>
    <w:rsid w:val="00672C22"/>
    <w:rsid w:val="00672DD5"/>
    <w:rsid w:val="00674E12"/>
    <w:rsid w:val="006755E3"/>
    <w:rsid w:val="00675916"/>
    <w:rsid w:val="006773D7"/>
    <w:rsid w:val="00677BA7"/>
    <w:rsid w:val="00680A68"/>
    <w:rsid w:val="00682420"/>
    <w:rsid w:val="00682971"/>
    <w:rsid w:val="00683D32"/>
    <w:rsid w:val="00683F0C"/>
    <w:rsid w:val="006861B0"/>
    <w:rsid w:val="006864CA"/>
    <w:rsid w:val="006866F6"/>
    <w:rsid w:val="006912AC"/>
    <w:rsid w:val="0069165E"/>
    <w:rsid w:val="00693468"/>
    <w:rsid w:val="006940C9"/>
    <w:rsid w:val="00694629"/>
    <w:rsid w:val="00694D1B"/>
    <w:rsid w:val="006968F6"/>
    <w:rsid w:val="00696BDF"/>
    <w:rsid w:val="006A0607"/>
    <w:rsid w:val="006A267A"/>
    <w:rsid w:val="006A3250"/>
    <w:rsid w:val="006A37A5"/>
    <w:rsid w:val="006A38FD"/>
    <w:rsid w:val="006A4542"/>
    <w:rsid w:val="006A53AB"/>
    <w:rsid w:val="006A5D5A"/>
    <w:rsid w:val="006A60C3"/>
    <w:rsid w:val="006A677D"/>
    <w:rsid w:val="006A69AC"/>
    <w:rsid w:val="006B272B"/>
    <w:rsid w:val="006B4108"/>
    <w:rsid w:val="006B5D5C"/>
    <w:rsid w:val="006C29D0"/>
    <w:rsid w:val="006C339B"/>
    <w:rsid w:val="006C73BF"/>
    <w:rsid w:val="006C7706"/>
    <w:rsid w:val="006C7AC8"/>
    <w:rsid w:val="006C7D52"/>
    <w:rsid w:val="006C7E82"/>
    <w:rsid w:val="006C7F75"/>
    <w:rsid w:val="006D1577"/>
    <w:rsid w:val="006D27A3"/>
    <w:rsid w:val="006D34D0"/>
    <w:rsid w:val="006D3EE1"/>
    <w:rsid w:val="006D46EC"/>
    <w:rsid w:val="006D5B31"/>
    <w:rsid w:val="006D70B8"/>
    <w:rsid w:val="006E007D"/>
    <w:rsid w:val="006E3B07"/>
    <w:rsid w:val="006E3D55"/>
    <w:rsid w:val="006E3F01"/>
    <w:rsid w:val="006E58B1"/>
    <w:rsid w:val="006E6182"/>
    <w:rsid w:val="006E6B22"/>
    <w:rsid w:val="006E7CAF"/>
    <w:rsid w:val="006F2EA8"/>
    <w:rsid w:val="006F3444"/>
    <w:rsid w:val="006F5326"/>
    <w:rsid w:val="006F55F6"/>
    <w:rsid w:val="006F5C2F"/>
    <w:rsid w:val="006F765D"/>
    <w:rsid w:val="006F7F00"/>
    <w:rsid w:val="007020A3"/>
    <w:rsid w:val="00703997"/>
    <w:rsid w:val="00703C5F"/>
    <w:rsid w:val="00703DFC"/>
    <w:rsid w:val="00703E8D"/>
    <w:rsid w:val="00710846"/>
    <w:rsid w:val="007109F5"/>
    <w:rsid w:val="0071144F"/>
    <w:rsid w:val="007117BE"/>
    <w:rsid w:val="0071378E"/>
    <w:rsid w:val="00716E25"/>
    <w:rsid w:val="007175F4"/>
    <w:rsid w:val="0071772B"/>
    <w:rsid w:val="00720A18"/>
    <w:rsid w:val="007213D4"/>
    <w:rsid w:val="00722262"/>
    <w:rsid w:val="00723F03"/>
    <w:rsid w:val="00723FE8"/>
    <w:rsid w:val="00724C44"/>
    <w:rsid w:val="00724DCB"/>
    <w:rsid w:val="00725E75"/>
    <w:rsid w:val="00726594"/>
    <w:rsid w:val="007270C8"/>
    <w:rsid w:val="00727651"/>
    <w:rsid w:val="007317F8"/>
    <w:rsid w:val="00731CA1"/>
    <w:rsid w:val="007322DD"/>
    <w:rsid w:val="00733CE8"/>
    <w:rsid w:val="0073445D"/>
    <w:rsid w:val="0073606F"/>
    <w:rsid w:val="00740F5B"/>
    <w:rsid w:val="007418A2"/>
    <w:rsid w:val="00743131"/>
    <w:rsid w:val="007446FC"/>
    <w:rsid w:val="007447C4"/>
    <w:rsid w:val="0074480C"/>
    <w:rsid w:val="00744BD3"/>
    <w:rsid w:val="00745BED"/>
    <w:rsid w:val="00745DBA"/>
    <w:rsid w:val="0074757E"/>
    <w:rsid w:val="00750678"/>
    <w:rsid w:val="00750716"/>
    <w:rsid w:val="0075117B"/>
    <w:rsid w:val="0075161C"/>
    <w:rsid w:val="00751874"/>
    <w:rsid w:val="007526C2"/>
    <w:rsid w:val="00752A5E"/>
    <w:rsid w:val="00754968"/>
    <w:rsid w:val="00757195"/>
    <w:rsid w:val="00757449"/>
    <w:rsid w:val="0076092B"/>
    <w:rsid w:val="00761870"/>
    <w:rsid w:val="00764787"/>
    <w:rsid w:val="007655A3"/>
    <w:rsid w:val="007660BA"/>
    <w:rsid w:val="00770340"/>
    <w:rsid w:val="007709A1"/>
    <w:rsid w:val="007713D2"/>
    <w:rsid w:val="00771913"/>
    <w:rsid w:val="00773538"/>
    <w:rsid w:val="007764DE"/>
    <w:rsid w:val="00777165"/>
    <w:rsid w:val="00781087"/>
    <w:rsid w:val="00782ECB"/>
    <w:rsid w:val="00784313"/>
    <w:rsid w:val="00784521"/>
    <w:rsid w:val="00785A5E"/>
    <w:rsid w:val="00786DC7"/>
    <w:rsid w:val="007870AD"/>
    <w:rsid w:val="0078732E"/>
    <w:rsid w:val="007874F8"/>
    <w:rsid w:val="007919F1"/>
    <w:rsid w:val="0079232E"/>
    <w:rsid w:val="007941FB"/>
    <w:rsid w:val="00795FB4"/>
    <w:rsid w:val="00797C63"/>
    <w:rsid w:val="00797DB6"/>
    <w:rsid w:val="007A0D6C"/>
    <w:rsid w:val="007A127C"/>
    <w:rsid w:val="007A1A76"/>
    <w:rsid w:val="007A2716"/>
    <w:rsid w:val="007A7AAE"/>
    <w:rsid w:val="007A7E80"/>
    <w:rsid w:val="007B162B"/>
    <w:rsid w:val="007B3125"/>
    <w:rsid w:val="007B5682"/>
    <w:rsid w:val="007B7380"/>
    <w:rsid w:val="007C0A1F"/>
    <w:rsid w:val="007C0DDF"/>
    <w:rsid w:val="007C3C43"/>
    <w:rsid w:val="007C74E8"/>
    <w:rsid w:val="007D0753"/>
    <w:rsid w:val="007D0898"/>
    <w:rsid w:val="007D1206"/>
    <w:rsid w:val="007D1D1D"/>
    <w:rsid w:val="007D1FD2"/>
    <w:rsid w:val="007D2078"/>
    <w:rsid w:val="007D2572"/>
    <w:rsid w:val="007D43AD"/>
    <w:rsid w:val="007D6133"/>
    <w:rsid w:val="007E05F3"/>
    <w:rsid w:val="007E1D19"/>
    <w:rsid w:val="007E1E7C"/>
    <w:rsid w:val="007E3F9C"/>
    <w:rsid w:val="007E4ACE"/>
    <w:rsid w:val="007E4B4A"/>
    <w:rsid w:val="007E51D4"/>
    <w:rsid w:val="007F1352"/>
    <w:rsid w:val="007F148D"/>
    <w:rsid w:val="007F17FC"/>
    <w:rsid w:val="007F1944"/>
    <w:rsid w:val="007F1EC2"/>
    <w:rsid w:val="007F273C"/>
    <w:rsid w:val="007F483F"/>
    <w:rsid w:val="007F60AC"/>
    <w:rsid w:val="007F7561"/>
    <w:rsid w:val="007F786D"/>
    <w:rsid w:val="007F78C9"/>
    <w:rsid w:val="007F7F21"/>
    <w:rsid w:val="00801A1C"/>
    <w:rsid w:val="00801C67"/>
    <w:rsid w:val="0080341F"/>
    <w:rsid w:val="00803F6C"/>
    <w:rsid w:val="0080527E"/>
    <w:rsid w:val="008055EC"/>
    <w:rsid w:val="00806187"/>
    <w:rsid w:val="00806608"/>
    <w:rsid w:val="008067A4"/>
    <w:rsid w:val="00807F41"/>
    <w:rsid w:val="00810F67"/>
    <w:rsid w:val="0081135D"/>
    <w:rsid w:val="0081218F"/>
    <w:rsid w:val="00812678"/>
    <w:rsid w:val="00813753"/>
    <w:rsid w:val="00813E69"/>
    <w:rsid w:val="0081444B"/>
    <w:rsid w:val="008162B4"/>
    <w:rsid w:val="008162F7"/>
    <w:rsid w:val="00816FFD"/>
    <w:rsid w:val="00817753"/>
    <w:rsid w:val="00824267"/>
    <w:rsid w:val="00824DF5"/>
    <w:rsid w:val="008253CC"/>
    <w:rsid w:val="008255D7"/>
    <w:rsid w:val="0082592C"/>
    <w:rsid w:val="00825CAB"/>
    <w:rsid w:val="00826FF1"/>
    <w:rsid w:val="008277C4"/>
    <w:rsid w:val="008304DD"/>
    <w:rsid w:val="008305C7"/>
    <w:rsid w:val="008343C3"/>
    <w:rsid w:val="0083736E"/>
    <w:rsid w:val="008377A4"/>
    <w:rsid w:val="00841917"/>
    <w:rsid w:val="00842B2D"/>
    <w:rsid w:val="00844163"/>
    <w:rsid w:val="00845219"/>
    <w:rsid w:val="00845D2B"/>
    <w:rsid w:val="00845F3B"/>
    <w:rsid w:val="00845FCA"/>
    <w:rsid w:val="008463AC"/>
    <w:rsid w:val="00847B6C"/>
    <w:rsid w:val="00850B58"/>
    <w:rsid w:val="00850CFE"/>
    <w:rsid w:val="00851186"/>
    <w:rsid w:val="008525D9"/>
    <w:rsid w:val="00853F3B"/>
    <w:rsid w:val="00854361"/>
    <w:rsid w:val="00855E69"/>
    <w:rsid w:val="008560C8"/>
    <w:rsid w:val="0086149E"/>
    <w:rsid w:val="00861783"/>
    <w:rsid w:val="00862024"/>
    <w:rsid w:val="008620ED"/>
    <w:rsid w:val="0086382D"/>
    <w:rsid w:val="00864965"/>
    <w:rsid w:val="00865277"/>
    <w:rsid w:val="00865C9C"/>
    <w:rsid w:val="00865E01"/>
    <w:rsid w:val="00865F19"/>
    <w:rsid w:val="008665EF"/>
    <w:rsid w:val="0086740B"/>
    <w:rsid w:val="008718C9"/>
    <w:rsid w:val="00871F26"/>
    <w:rsid w:val="00872191"/>
    <w:rsid w:val="00873A8F"/>
    <w:rsid w:val="00874E02"/>
    <w:rsid w:val="00874F0A"/>
    <w:rsid w:val="00876BE9"/>
    <w:rsid w:val="008773C8"/>
    <w:rsid w:val="0087784A"/>
    <w:rsid w:val="00880805"/>
    <w:rsid w:val="00880B18"/>
    <w:rsid w:val="00880BF9"/>
    <w:rsid w:val="00881D3E"/>
    <w:rsid w:val="00882191"/>
    <w:rsid w:val="0088587A"/>
    <w:rsid w:val="00886A6D"/>
    <w:rsid w:val="008906E8"/>
    <w:rsid w:val="00891C6F"/>
    <w:rsid w:val="00892037"/>
    <w:rsid w:val="00892212"/>
    <w:rsid w:val="008924EF"/>
    <w:rsid w:val="008937FD"/>
    <w:rsid w:val="00893839"/>
    <w:rsid w:val="00894C9E"/>
    <w:rsid w:val="00896253"/>
    <w:rsid w:val="008968FC"/>
    <w:rsid w:val="00897F66"/>
    <w:rsid w:val="008A22CB"/>
    <w:rsid w:val="008A2F66"/>
    <w:rsid w:val="008A4054"/>
    <w:rsid w:val="008A5371"/>
    <w:rsid w:val="008A57E2"/>
    <w:rsid w:val="008A5868"/>
    <w:rsid w:val="008A60A9"/>
    <w:rsid w:val="008A61BA"/>
    <w:rsid w:val="008B132B"/>
    <w:rsid w:val="008B7775"/>
    <w:rsid w:val="008B7F04"/>
    <w:rsid w:val="008C0925"/>
    <w:rsid w:val="008C1A80"/>
    <w:rsid w:val="008C21BE"/>
    <w:rsid w:val="008C22A0"/>
    <w:rsid w:val="008C4D6A"/>
    <w:rsid w:val="008C502B"/>
    <w:rsid w:val="008C6E43"/>
    <w:rsid w:val="008D06AE"/>
    <w:rsid w:val="008D1BD8"/>
    <w:rsid w:val="008D1CB0"/>
    <w:rsid w:val="008D2449"/>
    <w:rsid w:val="008D2F24"/>
    <w:rsid w:val="008D3D55"/>
    <w:rsid w:val="008D3FA4"/>
    <w:rsid w:val="008D4122"/>
    <w:rsid w:val="008D470E"/>
    <w:rsid w:val="008D4A13"/>
    <w:rsid w:val="008D4CCE"/>
    <w:rsid w:val="008D55F7"/>
    <w:rsid w:val="008D706F"/>
    <w:rsid w:val="008D72DA"/>
    <w:rsid w:val="008D7942"/>
    <w:rsid w:val="008E15BC"/>
    <w:rsid w:val="008E1E6B"/>
    <w:rsid w:val="008E2528"/>
    <w:rsid w:val="008E2887"/>
    <w:rsid w:val="008E3D21"/>
    <w:rsid w:val="008E53DE"/>
    <w:rsid w:val="008E6848"/>
    <w:rsid w:val="008E6B94"/>
    <w:rsid w:val="008E7A5C"/>
    <w:rsid w:val="008E7AF3"/>
    <w:rsid w:val="008E7E15"/>
    <w:rsid w:val="008F0863"/>
    <w:rsid w:val="008F0C90"/>
    <w:rsid w:val="008F3B51"/>
    <w:rsid w:val="008F4BDA"/>
    <w:rsid w:val="008F5242"/>
    <w:rsid w:val="008F708E"/>
    <w:rsid w:val="008F70A5"/>
    <w:rsid w:val="00900884"/>
    <w:rsid w:val="00901378"/>
    <w:rsid w:val="00901591"/>
    <w:rsid w:val="0090269F"/>
    <w:rsid w:val="00904DAA"/>
    <w:rsid w:val="0090550E"/>
    <w:rsid w:val="00906610"/>
    <w:rsid w:val="00906A55"/>
    <w:rsid w:val="0091066D"/>
    <w:rsid w:val="009113AB"/>
    <w:rsid w:val="009126B3"/>
    <w:rsid w:val="00912CA5"/>
    <w:rsid w:val="00913FA1"/>
    <w:rsid w:val="00914E48"/>
    <w:rsid w:val="00915C80"/>
    <w:rsid w:val="00915E3D"/>
    <w:rsid w:val="00921278"/>
    <w:rsid w:val="00922838"/>
    <w:rsid w:val="0092497F"/>
    <w:rsid w:val="009249CF"/>
    <w:rsid w:val="00925B2B"/>
    <w:rsid w:val="009269DC"/>
    <w:rsid w:val="00927220"/>
    <w:rsid w:val="009308CF"/>
    <w:rsid w:val="009321FE"/>
    <w:rsid w:val="0093396C"/>
    <w:rsid w:val="00933F8F"/>
    <w:rsid w:val="009340AC"/>
    <w:rsid w:val="009356FA"/>
    <w:rsid w:val="00936940"/>
    <w:rsid w:val="00936E66"/>
    <w:rsid w:val="00937963"/>
    <w:rsid w:val="009417DE"/>
    <w:rsid w:val="00941831"/>
    <w:rsid w:val="009438DB"/>
    <w:rsid w:val="009439E8"/>
    <w:rsid w:val="00945823"/>
    <w:rsid w:val="00945A98"/>
    <w:rsid w:val="00945E2A"/>
    <w:rsid w:val="00946132"/>
    <w:rsid w:val="00946F89"/>
    <w:rsid w:val="00947FB9"/>
    <w:rsid w:val="00950067"/>
    <w:rsid w:val="00951641"/>
    <w:rsid w:val="00953A95"/>
    <w:rsid w:val="00953BE8"/>
    <w:rsid w:val="009543A2"/>
    <w:rsid w:val="00954EB4"/>
    <w:rsid w:val="0095686B"/>
    <w:rsid w:val="00956E43"/>
    <w:rsid w:val="009576B6"/>
    <w:rsid w:val="009618FD"/>
    <w:rsid w:val="0096551C"/>
    <w:rsid w:val="00974839"/>
    <w:rsid w:val="00976271"/>
    <w:rsid w:val="009773B5"/>
    <w:rsid w:val="00977751"/>
    <w:rsid w:val="00980907"/>
    <w:rsid w:val="00981362"/>
    <w:rsid w:val="009836AC"/>
    <w:rsid w:val="009845C5"/>
    <w:rsid w:val="00986845"/>
    <w:rsid w:val="0098798D"/>
    <w:rsid w:val="00994197"/>
    <w:rsid w:val="009945D4"/>
    <w:rsid w:val="00994C41"/>
    <w:rsid w:val="00994D98"/>
    <w:rsid w:val="009A1F3C"/>
    <w:rsid w:val="009A28E0"/>
    <w:rsid w:val="009A2CF9"/>
    <w:rsid w:val="009A3FF1"/>
    <w:rsid w:val="009A4A8C"/>
    <w:rsid w:val="009A5497"/>
    <w:rsid w:val="009A6329"/>
    <w:rsid w:val="009A7839"/>
    <w:rsid w:val="009A7C80"/>
    <w:rsid w:val="009B0DB1"/>
    <w:rsid w:val="009B134D"/>
    <w:rsid w:val="009B1365"/>
    <w:rsid w:val="009B14AD"/>
    <w:rsid w:val="009B183B"/>
    <w:rsid w:val="009B186F"/>
    <w:rsid w:val="009B29D4"/>
    <w:rsid w:val="009B457A"/>
    <w:rsid w:val="009B5CCA"/>
    <w:rsid w:val="009B5EA9"/>
    <w:rsid w:val="009B7F3F"/>
    <w:rsid w:val="009C2DF8"/>
    <w:rsid w:val="009C338D"/>
    <w:rsid w:val="009C34B8"/>
    <w:rsid w:val="009C3900"/>
    <w:rsid w:val="009C4E95"/>
    <w:rsid w:val="009C4E9F"/>
    <w:rsid w:val="009C59EC"/>
    <w:rsid w:val="009C72BD"/>
    <w:rsid w:val="009C7C36"/>
    <w:rsid w:val="009D0DD6"/>
    <w:rsid w:val="009D2A03"/>
    <w:rsid w:val="009D2C13"/>
    <w:rsid w:val="009D401C"/>
    <w:rsid w:val="009D5486"/>
    <w:rsid w:val="009D5841"/>
    <w:rsid w:val="009D595C"/>
    <w:rsid w:val="009D7692"/>
    <w:rsid w:val="009D7D67"/>
    <w:rsid w:val="009E0C9F"/>
    <w:rsid w:val="009E0DDB"/>
    <w:rsid w:val="009E177E"/>
    <w:rsid w:val="009E1F8D"/>
    <w:rsid w:val="009E221F"/>
    <w:rsid w:val="009E3496"/>
    <w:rsid w:val="009E355A"/>
    <w:rsid w:val="009E3E65"/>
    <w:rsid w:val="009E4C7D"/>
    <w:rsid w:val="009E5AE4"/>
    <w:rsid w:val="009E62CF"/>
    <w:rsid w:val="009E6C7E"/>
    <w:rsid w:val="009F1E43"/>
    <w:rsid w:val="009F2218"/>
    <w:rsid w:val="009F4071"/>
    <w:rsid w:val="009F4F9E"/>
    <w:rsid w:val="009F5AC3"/>
    <w:rsid w:val="009F5D11"/>
    <w:rsid w:val="009F7597"/>
    <w:rsid w:val="00A00188"/>
    <w:rsid w:val="00A0027D"/>
    <w:rsid w:val="00A02516"/>
    <w:rsid w:val="00A03F1E"/>
    <w:rsid w:val="00A0456B"/>
    <w:rsid w:val="00A04EED"/>
    <w:rsid w:val="00A06BA4"/>
    <w:rsid w:val="00A1004F"/>
    <w:rsid w:val="00A10B9F"/>
    <w:rsid w:val="00A12F32"/>
    <w:rsid w:val="00A148A7"/>
    <w:rsid w:val="00A17828"/>
    <w:rsid w:val="00A20640"/>
    <w:rsid w:val="00A2066A"/>
    <w:rsid w:val="00A21B52"/>
    <w:rsid w:val="00A238B6"/>
    <w:rsid w:val="00A23DF4"/>
    <w:rsid w:val="00A305DD"/>
    <w:rsid w:val="00A325D9"/>
    <w:rsid w:val="00A3750C"/>
    <w:rsid w:val="00A409B8"/>
    <w:rsid w:val="00A41145"/>
    <w:rsid w:val="00A4166B"/>
    <w:rsid w:val="00A44575"/>
    <w:rsid w:val="00A46CBE"/>
    <w:rsid w:val="00A470F3"/>
    <w:rsid w:val="00A47577"/>
    <w:rsid w:val="00A52067"/>
    <w:rsid w:val="00A53DC8"/>
    <w:rsid w:val="00A5423F"/>
    <w:rsid w:val="00A579F0"/>
    <w:rsid w:val="00A6274C"/>
    <w:rsid w:val="00A627AF"/>
    <w:rsid w:val="00A62EFF"/>
    <w:rsid w:val="00A65B57"/>
    <w:rsid w:val="00A663F6"/>
    <w:rsid w:val="00A6719D"/>
    <w:rsid w:val="00A67AC3"/>
    <w:rsid w:val="00A72C7A"/>
    <w:rsid w:val="00A74424"/>
    <w:rsid w:val="00A748AA"/>
    <w:rsid w:val="00A75615"/>
    <w:rsid w:val="00A758D9"/>
    <w:rsid w:val="00A766EB"/>
    <w:rsid w:val="00A76DDF"/>
    <w:rsid w:val="00A81DDA"/>
    <w:rsid w:val="00A824D4"/>
    <w:rsid w:val="00A82DC0"/>
    <w:rsid w:val="00A83DAF"/>
    <w:rsid w:val="00A84C8B"/>
    <w:rsid w:val="00A85787"/>
    <w:rsid w:val="00A86DCF"/>
    <w:rsid w:val="00A8770E"/>
    <w:rsid w:val="00A877EE"/>
    <w:rsid w:val="00A93FE3"/>
    <w:rsid w:val="00A94791"/>
    <w:rsid w:val="00A95AA2"/>
    <w:rsid w:val="00A97C31"/>
    <w:rsid w:val="00A97D9A"/>
    <w:rsid w:val="00A97E76"/>
    <w:rsid w:val="00AA024B"/>
    <w:rsid w:val="00AA1B38"/>
    <w:rsid w:val="00AA2A0A"/>
    <w:rsid w:val="00AA2BDD"/>
    <w:rsid w:val="00AA32B9"/>
    <w:rsid w:val="00AA4697"/>
    <w:rsid w:val="00AA523E"/>
    <w:rsid w:val="00AA6277"/>
    <w:rsid w:val="00AA6597"/>
    <w:rsid w:val="00AA75F5"/>
    <w:rsid w:val="00AB301A"/>
    <w:rsid w:val="00AB46CE"/>
    <w:rsid w:val="00AC053B"/>
    <w:rsid w:val="00AC06B6"/>
    <w:rsid w:val="00AC24E9"/>
    <w:rsid w:val="00AC2DD1"/>
    <w:rsid w:val="00AC3B12"/>
    <w:rsid w:val="00AC40EF"/>
    <w:rsid w:val="00AC5851"/>
    <w:rsid w:val="00AC5AC1"/>
    <w:rsid w:val="00AC5F80"/>
    <w:rsid w:val="00AC79C7"/>
    <w:rsid w:val="00AD18E2"/>
    <w:rsid w:val="00AD3188"/>
    <w:rsid w:val="00AD39DF"/>
    <w:rsid w:val="00AD3AD0"/>
    <w:rsid w:val="00AD3DDB"/>
    <w:rsid w:val="00AD4434"/>
    <w:rsid w:val="00AD4928"/>
    <w:rsid w:val="00AD4CF3"/>
    <w:rsid w:val="00AD53B9"/>
    <w:rsid w:val="00AD77D4"/>
    <w:rsid w:val="00AD7BF6"/>
    <w:rsid w:val="00AD7EA8"/>
    <w:rsid w:val="00AE3B51"/>
    <w:rsid w:val="00AE4167"/>
    <w:rsid w:val="00AE50C6"/>
    <w:rsid w:val="00AE733B"/>
    <w:rsid w:val="00AF1667"/>
    <w:rsid w:val="00AF2D2F"/>
    <w:rsid w:val="00AF38D4"/>
    <w:rsid w:val="00AF4406"/>
    <w:rsid w:val="00AF4CA7"/>
    <w:rsid w:val="00AF64B4"/>
    <w:rsid w:val="00AF6BBB"/>
    <w:rsid w:val="00AF713E"/>
    <w:rsid w:val="00AF7FF1"/>
    <w:rsid w:val="00B00392"/>
    <w:rsid w:val="00B00800"/>
    <w:rsid w:val="00B00B96"/>
    <w:rsid w:val="00B01F96"/>
    <w:rsid w:val="00B021CC"/>
    <w:rsid w:val="00B02517"/>
    <w:rsid w:val="00B02743"/>
    <w:rsid w:val="00B02F88"/>
    <w:rsid w:val="00B04B65"/>
    <w:rsid w:val="00B070CD"/>
    <w:rsid w:val="00B07116"/>
    <w:rsid w:val="00B10074"/>
    <w:rsid w:val="00B10EFD"/>
    <w:rsid w:val="00B152D2"/>
    <w:rsid w:val="00B16AE4"/>
    <w:rsid w:val="00B16B96"/>
    <w:rsid w:val="00B16E63"/>
    <w:rsid w:val="00B20D93"/>
    <w:rsid w:val="00B21BF4"/>
    <w:rsid w:val="00B23D01"/>
    <w:rsid w:val="00B25599"/>
    <w:rsid w:val="00B256CF"/>
    <w:rsid w:val="00B26436"/>
    <w:rsid w:val="00B26898"/>
    <w:rsid w:val="00B30496"/>
    <w:rsid w:val="00B30DDE"/>
    <w:rsid w:val="00B332F8"/>
    <w:rsid w:val="00B3471F"/>
    <w:rsid w:val="00B36321"/>
    <w:rsid w:val="00B369DC"/>
    <w:rsid w:val="00B40280"/>
    <w:rsid w:val="00B424E4"/>
    <w:rsid w:val="00B42ACD"/>
    <w:rsid w:val="00B42AD0"/>
    <w:rsid w:val="00B44290"/>
    <w:rsid w:val="00B4582F"/>
    <w:rsid w:val="00B45E17"/>
    <w:rsid w:val="00B4633D"/>
    <w:rsid w:val="00B46C8F"/>
    <w:rsid w:val="00B47824"/>
    <w:rsid w:val="00B47825"/>
    <w:rsid w:val="00B50775"/>
    <w:rsid w:val="00B51307"/>
    <w:rsid w:val="00B513D9"/>
    <w:rsid w:val="00B536D3"/>
    <w:rsid w:val="00B5530B"/>
    <w:rsid w:val="00B55D64"/>
    <w:rsid w:val="00B57FB6"/>
    <w:rsid w:val="00B63E09"/>
    <w:rsid w:val="00B63FBB"/>
    <w:rsid w:val="00B64583"/>
    <w:rsid w:val="00B66A75"/>
    <w:rsid w:val="00B66D0E"/>
    <w:rsid w:val="00B66FAB"/>
    <w:rsid w:val="00B670E9"/>
    <w:rsid w:val="00B72414"/>
    <w:rsid w:val="00B736DA"/>
    <w:rsid w:val="00B73BDF"/>
    <w:rsid w:val="00B73E82"/>
    <w:rsid w:val="00B7503C"/>
    <w:rsid w:val="00B77872"/>
    <w:rsid w:val="00B8055B"/>
    <w:rsid w:val="00B829AE"/>
    <w:rsid w:val="00B82EA0"/>
    <w:rsid w:val="00B8310F"/>
    <w:rsid w:val="00B83F6A"/>
    <w:rsid w:val="00B84B23"/>
    <w:rsid w:val="00B854FA"/>
    <w:rsid w:val="00B85D4E"/>
    <w:rsid w:val="00B86044"/>
    <w:rsid w:val="00B869FA"/>
    <w:rsid w:val="00B878AC"/>
    <w:rsid w:val="00B9227E"/>
    <w:rsid w:val="00B92EF3"/>
    <w:rsid w:val="00B938C0"/>
    <w:rsid w:val="00BA20B6"/>
    <w:rsid w:val="00BA3340"/>
    <w:rsid w:val="00BB27CC"/>
    <w:rsid w:val="00BB2C40"/>
    <w:rsid w:val="00BB3052"/>
    <w:rsid w:val="00BB37A5"/>
    <w:rsid w:val="00BB440B"/>
    <w:rsid w:val="00BB78DC"/>
    <w:rsid w:val="00BC040F"/>
    <w:rsid w:val="00BC352B"/>
    <w:rsid w:val="00BC3ACF"/>
    <w:rsid w:val="00BD08D2"/>
    <w:rsid w:val="00BD1F25"/>
    <w:rsid w:val="00BD217F"/>
    <w:rsid w:val="00BD3748"/>
    <w:rsid w:val="00BD5FF9"/>
    <w:rsid w:val="00BD7600"/>
    <w:rsid w:val="00BE08A4"/>
    <w:rsid w:val="00BE0921"/>
    <w:rsid w:val="00BE1639"/>
    <w:rsid w:val="00BE1892"/>
    <w:rsid w:val="00BE1987"/>
    <w:rsid w:val="00BE22F7"/>
    <w:rsid w:val="00BE330F"/>
    <w:rsid w:val="00BE42E9"/>
    <w:rsid w:val="00BE6AE0"/>
    <w:rsid w:val="00BE7113"/>
    <w:rsid w:val="00BE756F"/>
    <w:rsid w:val="00BE77D4"/>
    <w:rsid w:val="00BE7E34"/>
    <w:rsid w:val="00BF002E"/>
    <w:rsid w:val="00BF05F4"/>
    <w:rsid w:val="00BF06DC"/>
    <w:rsid w:val="00BF38E4"/>
    <w:rsid w:val="00BF622E"/>
    <w:rsid w:val="00BF6D3C"/>
    <w:rsid w:val="00BF77A7"/>
    <w:rsid w:val="00BF7B65"/>
    <w:rsid w:val="00C02ABA"/>
    <w:rsid w:val="00C02E17"/>
    <w:rsid w:val="00C0304B"/>
    <w:rsid w:val="00C040D4"/>
    <w:rsid w:val="00C048EC"/>
    <w:rsid w:val="00C05855"/>
    <w:rsid w:val="00C05AC4"/>
    <w:rsid w:val="00C070A7"/>
    <w:rsid w:val="00C070FE"/>
    <w:rsid w:val="00C07B79"/>
    <w:rsid w:val="00C120A4"/>
    <w:rsid w:val="00C127FC"/>
    <w:rsid w:val="00C12A5F"/>
    <w:rsid w:val="00C12F5C"/>
    <w:rsid w:val="00C1382C"/>
    <w:rsid w:val="00C138AD"/>
    <w:rsid w:val="00C1613F"/>
    <w:rsid w:val="00C16CF5"/>
    <w:rsid w:val="00C17F7A"/>
    <w:rsid w:val="00C212A1"/>
    <w:rsid w:val="00C21F1E"/>
    <w:rsid w:val="00C244DB"/>
    <w:rsid w:val="00C24764"/>
    <w:rsid w:val="00C27587"/>
    <w:rsid w:val="00C3339D"/>
    <w:rsid w:val="00C334D9"/>
    <w:rsid w:val="00C33A8D"/>
    <w:rsid w:val="00C3541B"/>
    <w:rsid w:val="00C35449"/>
    <w:rsid w:val="00C37518"/>
    <w:rsid w:val="00C40262"/>
    <w:rsid w:val="00C407EC"/>
    <w:rsid w:val="00C4082F"/>
    <w:rsid w:val="00C40D9A"/>
    <w:rsid w:val="00C40E54"/>
    <w:rsid w:val="00C41ECF"/>
    <w:rsid w:val="00C42006"/>
    <w:rsid w:val="00C42DE8"/>
    <w:rsid w:val="00C433A7"/>
    <w:rsid w:val="00C4357F"/>
    <w:rsid w:val="00C4564E"/>
    <w:rsid w:val="00C47A69"/>
    <w:rsid w:val="00C47E17"/>
    <w:rsid w:val="00C51CCB"/>
    <w:rsid w:val="00C560BF"/>
    <w:rsid w:val="00C6074C"/>
    <w:rsid w:val="00C60DD1"/>
    <w:rsid w:val="00C61D0B"/>
    <w:rsid w:val="00C62216"/>
    <w:rsid w:val="00C73035"/>
    <w:rsid w:val="00C751D2"/>
    <w:rsid w:val="00C756C0"/>
    <w:rsid w:val="00C77436"/>
    <w:rsid w:val="00C7786E"/>
    <w:rsid w:val="00C801AC"/>
    <w:rsid w:val="00C81AEE"/>
    <w:rsid w:val="00C825D5"/>
    <w:rsid w:val="00C845A3"/>
    <w:rsid w:val="00C845EC"/>
    <w:rsid w:val="00C85889"/>
    <w:rsid w:val="00C86246"/>
    <w:rsid w:val="00C87AD2"/>
    <w:rsid w:val="00C92297"/>
    <w:rsid w:val="00C934DE"/>
    <w:rsid w:val="00C959D2"/>
    <w:rsid w:val="00C95FA4"/>
    <w:rsid w:val="00CA0AE8"/>
    <w:rsid w:val="00CA0FA1"/>
    <w:rsid w:val="00CA1442"/>
    <w:rsid w:val="00CA14B4"/>
    <w:rsid w:val="00CA15A6"/>
    <w:rsid w:val="00CA22E0"/>
    <w:rsid w:val="00CA2923"/>
    <w:rsid w:val="00CA2E05"/>
    <w:rsid w:val="00CA2F7C"/>
    <w:rsid w:val="00CA34CE"/>
    <w:rsid w:val="00CA6916"/>
    <w:rsid w:val="00CA7008"/>
    <w:rsid w:val="00CA71FD"/>
    <w:rsid w:val="00CA79E9"/>
    <w:rsid w:val="00CB19AF"/>
    <w:rsid w:val="00CB2CC5"/>
    <w:rsid w:val="00CB32B9"/>
    <w:rsid w:val="00CB3818"/>
    <w:rsid w:val="00CB4486"/>
    <w:rsid w:val="00CB73B1"/>
    <w:rsid w:val="00CB75DD"/>
    <w:rsid w:val="00CB7F69"/>
    <w:rsid w:val="00CC1B9B"/>
    <w:rsid w:val="00CC2473"/>
    <w:rsid w:val="00CC46D7"/>
    <w:rsid w:val="00CC65F5"/>
    <w:rsid w:val="00CD06B1"/>
    <w:rsid w:val="00CD1614"/>
    <w:rsid w:val="00CD1FDF"/>
    <w:rsid w:val="00CD2568"/>
    <w:rsid w:val="00CD37E6"/>
    <w:rsid w:val="00CD3DD4"/>
    <w:rsid w:val="00CD423A"/>
    <w:rsid w:val="00CD505E"/>
    <w:rsid w:val="00CE06AA"/>
    <w:rsid w:val="00CE2612"/>
    <w:rsid w:val="00CE3B3D"/>
    <w:rsid w:val="00CE594C"/>
    <w:rsid w:val="00CE5D76"/>
    <w:rsid w:val="00CE672D"/>
    <w:rsid w:val="00CE6BA1"/>
    <w:rsid w:val="00CE6C55"/>
    <w:rsid w:val="00CF0585"/>
    <w:rsid w:val="00CF210D"/>
    <w:rsid w:val="00CF2650"/>
    <w:rsid w:val="00CF39CD"/>
    <w:rsid w:val="00CF3DE3"/>
    <w:rsid w:val="00CF4822"/>
    <w:rsid w:val="00CF49DC"/>
    <w:rsid w:val="00CF52AA"/>
    <w:rsid w:val="00CF6891"/>
    <w:rsid w:val="00CF7D6E"/>
    <w:rsid w:val="00D001A1"/>
    <w:rsid w:val="00D01F66"/>
    <w:rsid w:val="00D01F69"/>
    <w:rsid w:val="00D04024"/>
    <w:rsid w:val="00D04396"/>
    <w:rsid w:val="00D044EC"/>
    <w:rsid w:val="00D04A60"/>
    <w:rsid w:val="00D11768"/>
    <w:rsid w:val="00D123B5"/>
    <w:rsid w:val="00D13176"/>
    <w:rsid w:val="00D14188"/>
    <w:rsid w:val="00D15741"/>
    <w:rsid w:val="00D165CA"/>
    <w:rsid w:val="00D16BD8"/>
    <w:rsid w:val="00D20E76"/>
    <w:rsid w:val="00D215DF"/>
    <w:rsid w:val="00D22091"/>
    <w:rsid w:val="00D23DC2"/>
    <w:rsid w:val="00D267FD"/>
    <w:rsid w:val="00D2783B"/>
    <w:rsid w:val="00D2784B"/>
    <w:rsid w:val="00D27D58"/>
    <w:rsid w:val="00D300D0"/>
    <w:rsid w:val="00D304CE"/>
    <w:rsid w:val="00D307C0"/>
    <w:rsid w:val="00D310DF"/>
    <w:rsid w:val="00D310F6"/>
    <w:rsid w:val="00D32031"/>
    <w:rsid w:val="00D328C1"/>
    <w:rsid w:val="00D32F3F"/>
    <w:rsid w:val="00D36924"/>
    <w:rsid w:val="00D42311"/>
    <w:rsid w:val="00D42763"/>
    <w:rsid w:val="00D43118"/>
    <w:rsid w:val="00D432DF"/>
    <w:rsid w:val="00D432F4"/>
    <w:rsid w:val="00D43547"/>
    <w:rsid w:val="00D43D26"/>
    <w:rsid w:val="00D4575A"/>
    <w:rsid w:val="00D4731B"/>
    <w:rsid w:val="00D51A88"/>
    <w:rsid w:val="00D521D1"/>
    <w:rsid w:val="00D52B01"/>
    <w:rsid w:val="00D5401B"/>
    <w:rsid w:val="00D54C25"/>
    <w:rsid w:val="00D5563F"/>
    <w:rsid w:val="00D55A46"/>
    <w:rsid w:val="00D55EEC"/>
    <w:rsid w:val="00D571F5"/>
    <w:rsid w:val="00D57F13"/>
    <w:rsid w:val="00D61610"/>
    <w:rsid w:val="00D6352D"/>
    <w:rsid w:val="00D64F29"/>
    <w:rsid w:val="00D65C20"/>
    <w:rsid w:val="00D66CBD"/>
    <w:rsid w:val="00D66CCF"/>
    <w:rsid w:val="00D67884"/>
    <w:rsid w:val="00D70573"/>
    <w:rsid w:val="00D71D07"/>
    <w:rsid w:val="00D72D30"/>
    <w:rsid w:val="00D732DB"/>
    <w:rsid w:val="00D73583"/>
    <w:rsid w:val="00D73F51"/>
    <w:rsid w:val="00D74067"/>
    <w:rsid w:val="00D7493B"/>
    <w:rsid w:val="00D74C43"/>
    <w:rsid w:val="00D772EC"/>
    <w:rsid w:val="00D7776F"/>
    <w:rsid w:val="00D807AE"/>
    <w:rsid w:val="00D80878"/>
    <w:rsid w:val="00D81E36"/>
    <w:rsid w:val="00D83BB4"/>
    <w:rsid w:val="00D83E2D"/>
    <w:rsid w:val="00D908DD"/>
    <w:rsid w:val="00D917C4"/>
    <w:rsid w:val="00D92F4A"/>
    <w:rsid w:val="00D9496A"/>
    <w:rsid w:val="00D958DF"/>
    <w:rsid w:val="00D97BB8"/>
    <w:rsid w:val="00DA0445"/>
    <w:rsid w:val="00DA10A3"/>
    <w:rsid w:val="00DA10A4"/>
    <w:rsid w:val="00DA360C"/>
    <w:rsid w:val="00DA5FC8"/>
    <w:rsid w:val="00DB1903"/>
    <w:rsid w:val="00DB2599"/>
    <w:rsid w:val="00DB3F14"/>
    <w:rsid w:val="00DC004F"/>
    <w:rsid w:val="00DC01A1"/>
    <w:rsid w:val="00DC0A25"/>
    <w:rsid w:val="00DC385D"/>
    <w:rsid w:val="00DC43B3"/>
    <w:rsid w:val="00DC4CD9"/>
    <w:rsid w:val="00DD18DC"/>
    <w:rsid w:val="00DD1AF1"/>
    <w:rsid w:val="00DD26EF"/>
    <w:rsid w:val="00DD2BEB"/>
    <w:rsid w:val="00DD38C8"/>
    <w:rsid w:val="00DD7197"/>
    <w:rsid w:val="00DD7F46"/>
    <w:rsid w:val="00DE213F"/>
    <w:rsid w:val="00DE2E49"/>
    <w:rsid w:val="00DE41D9"/>
    <w:rsid w:val="00DE52FD"/>
    <w:rsid w:val="00DE6890"/>
    <w:rsid w:val="00DE7359"/>
    <w:rsid w:val="00DE7C69"/>
    <w:rsid w:val="00DE7F72"/>
    <w:rsid w:val="00DF0E11"/>
    <w:rsid w:val="00DF0EB5"/>
    <w:rsid w:val="00DF1DCD"/>
    <w:rsid w:val="00DF353A"/>
    <w:rsid w:val="00E00933"/>
    <w:rsid w:val="00E0177F"/>
    <w:rsid w:val="00E03519"/>
    <w:rsid w:val="00E04E6C"/>
    <w:rsid w:val="00E05BF7"/>
    <w:rsid w:val="00E05F5C"/>
    <w:rsid w:val="00E06F18"/>
    <w:rsid w:val="00E11A50"/>
    <w:rsid w:val="00E11F04"/>
    <w:rsid w:val="00E12319"/>
    <w:rsid w:val="00E137F2"/>
    <w:rsid w:val="00E16929"/>
    <w:rsid w:val="00E16C72"/>
    <w:rsid w:val="00E16C84"/>
    <w:rsid w:val="00E20D74"/>
    <w:rsid w:val="00E2320B"/>
    <w:rsid w:val="00E2328E"/>
    <w:rsid w:val="00E2455F"/>
    <w:rsid w:val="00E24C0F"/>
    <w:rsid w:val="00E257C1"/>
    <w:rsid w:val="00E25D64"/>
    <w:rsid w:val="00E30026"/>
    <w:rsid w:val="00E33A61"/>
    <w:rsid w:val="00E3552F"/>
    <w:rsid w:val="00E364A8"/>
    <w:rsid w:val="00E36F7F"/>
    <w:rsid w:val="00E36FE6"/>
    <w:rsid w:val="00E40687"/>
    <w:rsid w:val="00E41099"/>
    <w:rsid w:val="00E424A2"/>
    <w:rsid w:val="00E42FF9"/>
    <w:rsid w:val="00E435A0"/>
    <w:rsid w:val="00E47D94"/>
    <w:rsid w:val="00E47F8B"/>
    <w:rsid w:val="00E50090"/>
    <w:rsid w:val="00E5249F"/>
    <w:rsid w:val="00E528DB"/>
    <w:rsid w:val="00E5290E"/>
    <w:rsid w:val="00E53BE8"/>
    <w:rsid w:val="00E54B9E"/>
    <w:rsid w:val="00E5672F"/>
    <w:rsid w:val="00E56968"/>
    <w:rsid w:val="00E56C05"/>
    <w:rsid w:val="00E56E7E"/>
    <w:rsid w:val="00E60552"/>
    <w:rsid w:val="00E620D5"/>
    <w:rsid w:val="00E62615"/>
    <w:rsid w:val="00E62DB0"/>
    <w:rsid w:val="00E63606"/>
    <w:rsid w:val="00E64093"/>
    <w:rsid w:val="00E653C8"/>
    <w:rsid w:val="00E6611B"/>
    <w:rsid w:val="00E6780C"/>
    <w:rsid w:val="00E74219"/>
    <w:rsid w:val="00E77297"/>
    <w:rsid w:val="00E80915"/>
    <w:rsid w:val="00E81123"/>
    <w:rsid w:val="00E81776"/>
    <w:rsid w:val="00E83869"/>
    <w:rsid w:val="00E83C89"/>
    <w:rsid w:val="00E85341"/>
    <w:rsid w:val="00E85BCC"/>
    <w:rsid w:val="00E85C2F"/>
    <w:rsid w:val="00E85FCF"/>
    <w:rsid w:val="00E86679"/>
    <w:rsid w:val="00E86D31"/>
    <w:rsid w:val="00E87411"/>
    <w:rsid w:val="00E90117"/>
    <w:rsid w:val="00E90A35"/>
    <w:rsid w:val="00E90D33"/>
    <w:rsid w:val="00E91AC2"/>
    <w:rsid w:val="00E92E39"/>
    <w:rsid w:val="00E92F22"/>
    <w:rsid w:val="00E9323D"/>
    <w:rsid w:val="00E933A0"/>
    <w:rsid w:val="00E9409E"/>
    <w:rsid w:val="00E94F8A"/>
    <w:rsid w:val="00E96C3C"/>
    <w:rsid w:val="00E97D4A"/>
    <w:rsid w:val="00EA09AA"/>
    <w:rsid w:val="00EA3523"/>
    <w:rsid w:val="00EA43DC"/>
    <w:rsid w:val="00EA44F5"/>
    <w:rsid w:val="00EA7053"/>
    <w:rsid w:val="00EA72C2"/>
    <w:rsid w:val="00EA7E39"/>
    <w:rsid w:val="00EB0F24"/>
    <w:rsid w:val="00EB11AF"/>
    <w:rsid w:val="00EB129D"/>
    <w:rsid w:val="00EB1A9A"/>
    <w:rsid w:val="00EB2D15"/>
    <w:rsid w:val="00EB3B2E"/>
    <w:rsid w:val="00EB5A8E"/>
    <w:rsid w:val="00EB6464"/>
    <w:rsid w:val="00EB6A16"/>
    <w:rsid w:val="00EB756F"/>
    <w:rsid w:val="00EB7E02"/>
    <w:rsid w:val="00EC1E8D"/>
    <w:rsid w:val="00EC2316"/>
    <w:rsid w:val="00EC334A"/>
    <w:rsid w:val="00EC3AB2"/>
    <w:rsid w:val="00EC6A17"/>
    <w:rsid w:val="00EC70DB"/>
    <w:rsid w:val="00EC7455"/>
    <w:rsid w:val="00EC7EA4"/>
    <w:rsid w:val="00EC7FE7"/>
    <w:rsid w:val="00ED19B1"/>
    <w:rsid w:val="00ED21B0"/>
    <w:rsid w:val="00ED4C05"/>
    <w:rsid w:val="00ED4EBA"/>
    <w:rsid w:val="00ED662F"/>
    <w:rsid w:val="00EE3E0C"/>
    <w:rsid w:val="00EE499E"/>
    <w:rsid w:val="00EE4A46"/>
    <w:rsid w:val="00EE4F1F"/>
    <w:rsid w:val="00EE64DE"/>
    <w:rsid w:val="00EE7550"/>
    <w:rsid w:val="00EF1BCD"/>
    <w:rsid w:val="00EF3238"/>
    <w:rsid w:val="00EF7500"/>
    <w:rsid w:val="00EF7B74"/>
    <w:rsid w:val="00F00F29"/>
    <w:rsid w:val="00F02182"/>
    <w:rsid w:val="00F0293C"/>
    <w:rsid w:val="00F02C7B"/>
    <w:rsid w:val="00F02FCA"/>
    <w:rsid w:val="00F02FE7"/>
    <w:rsid w:val="00F04871"/>
    <w:rsid w:val="00F04D25"/>
    <w:rsid w:val="00F05B94"/>
    <w:rsid w:val="00F1098B"/>
    <w:rsid w:val="00F11996"/>
    <w:rsid w:val="00F1485E"/>
    <w:rsid w:val="00F15AF6"/>
    <w:rsid w:val="00F15D7E"/>
    <w:rsid w:val="00F2054C"/>
    <w:rsid w:val="00F24D24"/>
    <w:rsid w:val="00F263F3"/>
    <w:rsid w:val="00F2641F"/>
    <w:rsid w:val="00F27849"/>
    <w:rsid w:val="00F318F9"/>
    <w:rsid w:val="00F31C2F"/>
    <w:rsid w:val="00F31FCF"/>
    <w:rsid w:val="00F32EF3"/>
    <w:rsid w:val="00F34259"/>
    <w:rsid w:val="00F345D3"/>
    <w:rsid w:val="00F35486"/>
    <w:rsid w:val="00F3585D"/>
    <w:rsid w:val="00F36564"/>
    <w:rsid w:val="00F36A11"/>
    <w:rsid w:val="00F376ED"/>
    <w:rsid w:val="00F37EF0"/>
    <w:rsid w:val="00F401BA"/>
    <w:rsid w:val="00F404CA"/>
    <w:rsid w:val="00F40991"/>
    <w:rsid w:val="00F41245"/>
    <w:rsid w:val="00F424FA"/>
    <w:rsid w:val="00F442D5"/>
    <w:rsid w:val="00F44935"/>
    <w:rsid w:val="00F46184"/>
    <w:rsid w:val="00F47E28"/>
    <w:rsid w:val="00F506F1"/>
    <w:rsid w:val="00F51776"/>
    <w:rsid w:val="00F51F8D"/>
    <w:rsid w:val="00F52A82"/>
    <w:rsid w:val="00F53442"/>
    <w:rsid w:val="00F53681"/>
    <w:rsid w:val="00F53AF5"/>
    <w:rsid w:val="00F54AE4"/>
    <w:rsid w:val="00F55412"/>
    <w:rsid w:val="00F56E35"/>
    <w:rsid w:val="00F56FC1"/>
    <w:rsid w:val="00F6015C"/>
    <w:rsid w:val="00F63C7A"/>
    <w:rsid w:val="00F63E12"/>
    <w:rsid w:val="00F642C2"/>
    <w:rsid w:val="00F65612"/>
    <w:rsid w:val="00F65FAF"/>
    <w:rsid w:val="00F664D2"/>
    <w:rsid w:val="00F707AE"/>
    <w:rsid w:val="00F709D4"/>
    <w:rsid w:val="00F714AE"/>
    <w:rsid w:val="00F719C6"/>
    <w:rsid w:val="00F71A25"/>
    <w:rsid w:val="00F73DC6"/>
    <w:rsid w:val="00F760D3"/>
    <w:rsid w:val="00F76EF4"/>
    <w:rsid w:val="00F77585"/>
    <w:rsid w:val="00F779EE"/>
    <w:rsid w:val="00F80992"/>
    <w:rsid w:val="00F835CF"/>
    <w:rsid w:val="00F83AE7"/>
    <w:rsid w:val="00F84F12"/>
    <w:rsid w:val="00F8502D"/>
    <w:rsid w:val="00F85616"/>
    <w:rsid w:val="00F85C09"/>
    <w:rsid w:val="00F8716C"/>
    <w:rsid w:val="00F875F2"/>
    <w:rsid w:val="00F9186B"/>
    <w:rsid w:val="00F92352"/>
    <w:rsid w:val="00F93052"/>
    <w:rsid w:val="00F93E56"/>
    <w:rsid w:val="00F93FCD"/>
    <w:rsid w:val="00F94F42"/>
    <w:rsid w:val="00F94F8A"/>
    <w:rsid w:val="00FA12EA"/>
    <w:rsid w:val="00FA1CBD"/>
    <w:rsid w:val="00FA4E96"/>
    <w:rsid w:val="00FA4F29"/>
    <w:rsid w:val="00FA59A7"/>
    <w:rsid w:val="00FA5C72"/>
    <w:rsid w:val="00FA5FC0"/>
    <w:rsid w:val="00FA6C2A"/>
    <w:rsid w:val="00FA6FA2"/>
    <w:rsid w:val="00FB2137"/>
    <w:rsid w:val="00FB253F"/>
    <w:rsid w:val="00FB2F0F"/>
    <w:rsid w:val="00FB6505"/>
    <w:rsid w:val="00FB6915"/>
    <w:rsid w:val="00FC2586"/>
    <w:rsid w:val="00FC51AB"/>
    <w:rsid w:val="00FC611E"/>
    <w:rsid w:val="00FC6C8E"/>
    <w:rsid w:val="00FD29A0"/>
    <w:rsid w:val="00FD2C27"/>
    <w:rsid w:val="00FD2E70"/>
    <w:rsid w:val="00FD3DEC"/>
    <w:rsid w:val="00FD3FFD"/>
    <w:rsid w:val="00FD462B"/>
    <w:rsid w:val="00FD5F70"/>
    <w:rsid w:val="00FD7469"/>
    <w:rsid w:val="00FD7DFE"/>
    <w:rsid w:val="00FE02B6"/>
    <w:rsid w:val="00FE055E"/>
    <w:rsid w:val="00FE1283"/>
    <w:rsid w:val="00FE26EF"/>
    <w:rsid w:val="00FE30BC"/>
    <w:rsid w:val="00FE34D4"/>
    <w:rsid w:val="00FE3604"/>
    <w:rsid w:val="00FE6CA3"/>
    <w:rsid w:val="00FE7163"/>
    <w:rsid w:val="00FF12CA"/>
    <w:rsid w:val="00FF1348"/>
    <w:rsid w:val="00FF7221"/>
    <w:rsid w:val="00FF73D8"/>
    <w:rsid w:val="012515C4"/>
    <w:rsid w:val="013D7B5F"/>
    <w:rsid w:val="01FE4362"/>
    <w:rsid w:val="02002B38"/>
    <w:rsid w:val="02B76A7A"/>
    <w:rsid w:val="02CF1502"/>
    <w:rsid w:val="034228BB"/>
    <w:rsid w:val="03D935C4"/>
    <w:rsid w:val="041D47D5"/>
    <w:rsid w:val="04C6235B"/>
    <w:rsid w:val="05160335"/>
    <w:rsid w:val="053A1FDF"/>
    <w:rsid w:val="05471B3F"/>
    <w:rsid w:val="05775371"/>
    <w:rsid w:val="05A93BF2"/>
    <w:rsid w:val="05FE7F0A"/>
    <w:rsid w:val="072423FA"/>
    <w:rsid w:val="0748600C"/>
    <w:rsid w:val="08A454C4"/>
    <w:rsid w:val="08A8663B"/>
    <w:rsid w:val="08FE5B91"/>
    <w:rsid w:val="09551831"/>
    <w:rsid w:val="0A3B7527"/>
    <w:rsid w:val="0ADD7D24"/>
    <w:rsid w:val="0AFA761E"/>
    <w:rsid w:val="0B3E5438"/>
    <w:rsid w:val="0BAB6B6A"/>
    <w:rsid w:val="0BB82EB8"/>
    <w:rsid w:val="0BBF1255"/>
    <w:rsid w:val="0C1F6F5B"/>
    <w:rsid w:val="0C223922"/>
    <w:rsid w:val="0CEE4F60"/>
    <w:rsid w:val="0D107D1B"/>
    <w:rsid w:val="0D464D9C"/>
    <w:rsid w:val="0D4F6645"/>
    <w:rsid w:val="0EBC0A32"/>
    <w:rsid w:val="0F2A5FF8"/>
    <w:rsid w:val="0F4A74F1"/>
    <w:rsid w:val="0F8F4AE0"/>
    <w:rsid w:val="0FB37164"/>
    <w:rsid w:val="1102547E"/>
    <w:rsid w:val="14362B54"/>
    <w:rsid w:val="14425712"/>
    <w:rsid w:val="14527582"/>
    <w:rsid w:val="152A564A"/>
    <w:rsid w:val="156C1118"/>
    <w:rsid w:val="159E7AC1"/>
    <w:rsid w:val="15E96C0C"/>
    <w:rsid w:val="160752E5"/>
    <w:rsid w:val="1616330A"/>
    <w:rsid w:val="16A6122C"/>
    <w:rsid w:val="177A034E"/>
    <w:rsid w:val="17CC218D"/>
    <w:rsid w:val="17E01949"/>
    <w:rsid w:val="184453AA"/>
    <w:rsid w:val="187B4183"/>
    <w:rsid w:val="1893454D"/>
    <w:rsid w:val="18D266C6"/>
    <w:rsid w:val="191036C5"/>
    <w:rsid w:val="193D6E09"/>
    <w:rsid w:val="19C4221C"/>
    <w:rsid w:val="19C87EFC"/>
    <w:rsid w:val="1A526AC8"/>
    <w:rsid w:val="1A654388"/>
    <w:rsid w:val="1AD563CD"/>
    <w:rsid w:val="1B5E5DD0"/>
    <w:rsid w:val="1BB541A5"/>
    <w:rsid w:val="1C4224A2"/>
    <w:rsid w:val="1D7B5C55"/>
    <w:rsid w:val="1E0835A0"/>
    <w:rsid w:val="1ECE5B4E"/>
    <w:rsid w:val="1F121E8F"/>
    <w:rsid w:val="204F0285"/>
    <w:rsid w:val="2094744F"/>
    <w:rsid w:val="21727A1A"/>
    <w:rsid w:val="21C7319D"/>
    <w:rsid w:val="22C520D9"/>
    <w:rsid w:val="22CA2AC1"/>
    <w:rsid w:val="2342170A"/>
    <w:rsid w:val="23D81CD9"/>
    <w:rsid w:val="249D2CB2"/>
    <w:rsid w:val="250B13C1"/>
    <w:rsid w:val="250F65D3"/>
    <w:rsid w:val="251E3555"/>
    <w:rsid w:val="252D1AC6"/>
    <w:rsid w:val="254306A1"/>
    <w:rsid w:val="2688643A"/>
    <w:rsid w:val="27D15F8C"/>
    <w:rsid w:val="28803A86"/>
    <w:rsid w:val="2881588D"/>
    <w:rsid w:val="28EC5A01"/>
    <w:rsid w:val="29101616"/>
    <w:rsid w:val="294C3577"/>
    <w:rsid w:val="298446EA"/>
    <w:rsid w:val="29945BE6"/>
    <w:rsid w:val="29DB28B3"/>
    <w:rsid w:val="2A585C82"/>
    <w:rsid w:val="2AD6357A"/>
    <w:rsid w:val="2B282726"/>
    <w:rsid w:val="2BBF6F92"/>
    <w:rsid w:val="2CE66B32"/>
    <w:rsid w:val="2DFE5C08"/>
    <w:rsid w:val="2E621C2D"/>
    <w:rsid w:val="2E7A444E"/>
    <w:rsid w:val="2E9B5749"/>
    <w:rsid w:val="2F0D13BF"/>
    <w:rsid w:val="2F6B3D97"/>
    <w:rsid w:val="2FC34324"/>
    <w:rsid w:val="30A45650"/>
    <w:rsid w:val="30E93B07"/>
    <w:rsid w:val="30FB6211"/>
    <w:rsid w:val="32147169"/>
    <w:rsid w:val="321B54E3"/>
    <w:rsid w:val="324515B3"/>
    <w:rsid w:val="32B5290D"/>
    <w:rsid w:val="32DC73D4"/>
    <w:rsid w:val="33355620"/>
    <w:rsid w:val="342B1D46"/>
    <w:rsid w:val="34C91AD2"/>
    <w:rsid w:val="34DB1BC6"/>
    <w:rsid w:val="353A093D"/>
    <w:rsid w:val="355B4B26"/>
    <w:rsid w:val="35AD0692"/>
    <w:rsid w:val="36231067"/>
    <w:rsid w:val="36340898"/>
    <w:rsid w:val="36CE6C58"/>
    <w:rsid w:val="373B05AC"/>
    <w:rsid w:val="37462197"/>
    <w:rsid w:val="376D33D4"/>
    <w:rsid w:val="394C4C39"/>
    <w:rsid w:val="3B296E11"/>
    <w:rsid w:val="3BC05EC8"/>
    <w:rsid w:val="3DA83BAE"/>
    <w:rsid w:val="3DFA6E28"/>
    <w:rsid w:val="3E667536"/>
    <w:rsid w:val="3ED43116"/>
    <w:rsid w:val="3F6B3731"/>
    <w:rsid w:val="40341AEF"/>
    <w:rsid w:val="408B6A77"/>
    <w:rsid w:val="40D72BE1"/>
    <w:rsid w:val="40E13EB9"/>
    <w:rsid w:val="43326C4D"/>
    <w:rsid w:val="443937D0"/>
    <w:rsid w:val="45B35DD1"/>
    <w:rsid w:val="45C50027"/>
    <w:rsid w:val="45FA66F2"/>
    <w:rsid w:val="4673053D"/>
    <w:rsid w:val="46C67BC5"/>
    <w:rsid w:val="474156B1"/>
    <w:rsid w:val="481009E1"/>
    <w:rsid w:val="484957E5"/>
    <w:rsid w:val="492F02B7"/>
    <w:rsid w:val="49AA17E5"/>
    <w:rsid w:val="4A10231B"/>
    <w:rsid w:val="4B354C8D"/>
    <w:rsid w:val="4B9E0E00"/>
    <w:rsid w:val="4BA21718"/>
    <w:rsid w:val="4BA24238"/>
    <w:rsid w:val="4BDE3438"/>
    <w:rsid w:val="4C955322"/>
    <w:rsid w:val="4CD771D1"/>
    <w:rsid w:val="4D284AE3"/>
    <w:rsid w:val="4D622DD0"/>
    <w:rsid w:val="4D923BC0"/>
    <w:rsid w:val="4D9A7EEC"/>
    <w:rsid w:val="4DA72A3F"/>
    <w:rsid w:val="4E717E1F"/>
    <w:rsid w:val="50553AB9"/>
    <w:rsid w:val="51750092"/>
    <w:rsid w:val="517C7F08"/>
    <w:rsid w:val="51F91B95"/>
    <w:rsid w:val="5233023D"/>
    <w:rsid w:val="5238571D"/>
    <w:rsid w:val="527865F8"/>
    <w:rsid w:val="52914F59"/>
    <w:rsid w:val="529238D0"/>
    <w:rsid w:val="52B81F38"/>
    <w:rsid w:val="52BD62A1"/>
    <w:rsid w:val="52CA2943"/>
    <w:rsid w:val="53662894"/>
    <w:rsid w:val="53777C66"/>
    <w:rsid w:val="53ED223D"/>
    <w:rsid w:val="56472036"/>
    <w:rsid w:val="570C5B60"/>
    <w:rsid w:val="571A66B0"/>
    <w:rsid w:val="572F5283"/>
    <w:rsid w:val="5774599C"/>
    <w:rsid w:val="5779415E"/>
    <w:rsid w:val="579D4B86"/>
    <w:rsid w:val="582F40CE"/>
    <w:rsid w:val="586F1DFB"/>
    <w:rsid w:val="58D5792E"/>
    <w:rsid w:val="596C1BEF"/>
    <w:rsid w:val="5AD97A2A"/>
    <w:rsid w:val="5B0979CC"/>
    <w:rsid w:val="5B815832"/>
    <w:rsid w:val="5BE508A9"/>
    <w:rsid w:val="5C4E2774"/>
    <w:rsid w:val="5C8E5813"/>
    <w:rsid w:val="5D1868A9"/>
    <w:rsid w:val="5D1931D9"/>
    <w:rsid w:val="5D327642"/>
    <w:rsid w:val="5DDF1D57"/>
    <w:rsid w:val="5DF44970"/>
    <w:rsid w:val="5E0814CC"/>
    <w:rsid w:val="5E807125"/>
    <w:rsid w:val="5E9563C7"/>
    <w:rsid w:val="5EA9322B"/>
    <w:rsid w:val="5EAB415B"/>
    <w:rsid w:val="5EAE1426"/>
    <w:rsid w:val="5F3B73DF"/>
    <w:rsid w:val="5FAE461E"/>
    <w:rsid w:val="5FF42B69"/>
    <w:rsid w:val="60756869"/>
    <w:rsid w:val="60C56B33"/>
    <w:rsid w:val="613A51F3"/>
    <w:rsid w:val="614662C9"/>
    <w:rsid w:val="616841D9"/>
    <w:rsid w:val="6180419F"/>
    <w:rsid w:val="618D14B1"/>
    <w:rsid w:val="61957D79"/>
    <w:rsid w:val="64062E5A"/>
    <w:rsid w:val="64491A26"/>
    <w:rsid w:val="644E538B"/>
    <w:rsid w:val="645B276B"/>
    <w:rsid w:val="64B17F94"/>
    <w:rsid w:val="65BF611F"/>
    <w:rsid w:val="65EB40F6"/>
    <w:rsid w:val="66787A92"/>
    <w:rsid w:val="67921C7B"/>
    <w:rsid w:val="67C64D4A"/>
    <w:rsid w:val="67CC5B34"/>
    <w:rsid w:val="68441504"/>
    <w:rsid w:val="687145AC"/>
    <w:rsid w:val="687C07E2"/>
    <w:rsid w:val="69BF1E36"/>
    <w:rsid w:val="69DC4BF7"/>
    <w:rsid w:val="6A3B70DB"/>
    <w:rsid w:val="6C800DA2"/>
    <w:rsid w:val="6CE74C4E"/>
    <w:rsid w:val="6E2B791C"/>
    <w:rsid w:val="6E8126B3"/>
    <w:rsid w:val="6EF03395"/>
    <w:rsid w:val="6F8F7052"/>
    <w:rsid w:val="6FA25BDC"/>
    <w:rsid w:val="705C7A2E"/>
    <w:rsid w:val="708C4053"/>
    <w:rsid w:val="70AE4B6D"/>
    <w:rsid w:val="7145541F"/>
    <w:rsid w:val="71A65446"/>
    <w:rsid w:val="71E74F23"/>
    <w:rsid w:val="71FE5807"/>
    <w:rsid w:val="7212364D"/>
    <w:rsid w:val="72913306"/>
    <w:rsid w:val="72BC4683"/>
    <w:rsid w:val="72EC201A"/>
    <w:rsid w:val="734D694E"/>
    <w:rsid w:val="738E01BC"/>
    <w:rsid w:val="73DE7994"/>
    <w:rsid w:val="741132A2"/>
    <w:rsid w:val="74B21EBA"/>
    <w:rsid w:val="74B331C8"/>
    <w:rsid w:val="74E97873"/>
    <w:rsid w:val="7581506D"/>
    <w:rsid w:val="767F38E0"/>
    <w:rsid w:val="77532A82"/>
    <w:rsid w:val="7770583B"/>
    <w:rsid w:val="77761FCF"/>
    <w:rsid w:val="77B979E3"/>
    <w:rsid w:val="78372035"/>
    <w:rsid w:val="785D01D6"/>
    <w:rsid w:val="7908577F"/>
    <w:rsid w:val="79F84D59"/>
    <w:rsid w:val="7A4775D8"/>
    <w:rsid w:val="7A6048EA"/>
    <w:rsid w:val="7A6C640F"/>
    <w:rsid w:val="7B161441"/>
    <w:rsid w:val="7CE56F9F"/>
    <w:rsid w:val="7D7508C6"/>
    <w:rsid w:val="7F42709E"/>
    <w:rsid w:val="7FF8479F"/>
    <w:rsid w:val="7FFC25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2"/>
    <w:qFormat/>
    <w:uiPriority w:val="9"/>
    <w:pPr>
      <w:widowControl/>
      <w:jc w:val="left"/>
      <w:outlineLvl w:val="2"/>
    </w:pPr>
    <w:rPr>
      <w:rFonts w:ascii="宋体" w:hAnsi="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3"/>
    <w:unhideWhenUsed/>
    <w:qFormat/>
    <w:uiPriority w:val="99"/>
    <w:pPr>
      <w:jc w:val="left"/>
    </w:pPr>
  </w:style>
  <w:style w:type="paragraph" w:styleId="6">
    <w:name w:val="Body Text"/>
    <w:basedOn w:val="1"/>
    <w:qFormat/>
    <w:uiPriority w:val="0"/>
    <w:pPr>
      <w:jc w:val="right"/>
    </w:pPr>
    <w:rPr>
      <w:sz w:val="24"/>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21"/>
    <w:unhideWhenUsed/>
    <w:qFormat/>
    <w:uiPriority w:val="99"/>
    <w:pPr>
      <w:tabs>
        <w:tab w:val="center" w:pos="4153"/>
        <w:tab w:val="right" w:pos="8306"/>
      </w:tabs>
      <w:snapToGrid w:val="0"/>
      <w:jc w:val="left"/>
    </w:pPr>
    <w:rPr>
      <w:kern w:val="0"/>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5"/>
    <w:next w:val="5"/>
    <w:link w:val="20"/>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bCs/>
    </w:rPr>
  </w:style>
  <w:style w:type="character" w:styleId="17">
    <w:name w:val="page number"/>
    <w:basedOn w:val="15"/>
    <w:qFormat/>
    <w:uiPriority w:val="0"/>
  </w:style>
  <w:style w:type="character" w:styleId="18">
    <w:name w:val="Hyperlink"/>
    <w:unhideWhenUsed/>
    <w:qFormat/>
    <w:uiPriority w:val="99"/>
    <w:rPr>
      <w:color w:val="0000CC"/>
      <w:u w:val="single"/>
    </w:rPr>
  </w:style>
  <w:style w:type="character" w:styleId="19">
    <w:name w:val="annotation reference"/>
    <w:unhideWhenUsed/>
    <w:qFormat/>
    <w:uiPriority w:val="99"/>
    <w:rPr>
      <w:sz w:val="21"/>
      <w:szCs w:val="21"/>
    </w:rPr>
  </w:style>
  <w:style w:type="character" w:customStyle="1" w:styleId="20">
    <w:name w:val="批注主题 字符"/>
    <w:link w:val="12"/>
    <w:semiHidden/>
    <w:qFormat/>
    <w:uiPriority w:val="99"/>
    <w:rPr>
      <w:rFonts w:ascii="Times New Roman" w:hAnsi="Times New Roman"/>
      <w:b/>
      <w:bCs/>
      <w:kern w:val="2"/>
      <w:sz w:val="21"/>
      <w:szCs w:val="24"/>
    </w:rPr>
  </w:style>
  <w:style w:type="character" w:customStyle="1" w:styleId="21">
    <w:name w:val="页脚 字符"/>
    <w:link w:val="9"/>
    <w:qFormat/>
    <w:uiPriority w:val="99"/>
    <w:rPr>
      <w:sz w:val="18"/>
      <w:szCs w:val="18"/>
    </w:rPr>
  </w:style>
  <w:style w:type="character" w:customStyle="1" w:styleId="22">
    <w:name w:val="标题 3 字符"/>
    <w:link w:val="4"/>
    <w:qFormat/>
    <w:uiPriority w:val="9"/>
    <w:rPr>
      <w:rFonts w:ascii="宋体" w:hAnsi="宋体" w:cs="宋体"/>
      <w:b/>
      <w:bCs/>
      <w:sz w:val="27"/>
      <w:szCs w:val="27"/>
    </w:rPr>
  </w:style>
  <w:style w:type="character" w:customStyle="1" w:styleId="23">
    <w:name w:val="批注文字 字符"/>
    <w:link w:val="5"/>
    <w:semiHidden/>
    <w:qFormat/>
    <w:uiPriority w:val="99"/>
    <w:rPr>
      <w:rFonts w:ascii="Times New Roman" w:hAnsi="Times New Roman"/>
      <w:kern w:val="2"/>
      <w:sz w:val="21"/>
      <w:szCs w:val="24"/>
    </w:rPr>
  </w:style>
  <w:style w:type="character" w:customStyle="1" w:styleId="24">
    <w:name w:val="标题 1 字符"/>
    <w:link w:val="2"/>
    <w:qFormat/>
    <w:uiPriority w:val="9"/>
    <w:rPr>
      <w:rFonts w:ascii="Times New Roman" w:hAnsi="Times New Roman"/>
      <w:b/>
      <w:bCs/>
      <w:kern w:val="44"/>
      <w:sz w:val="44"/>
      <w:szCs w:val="44"/>
    </w:rPr>
  </w:style>
  <w:style w:type="character" w:customStyle="1" w:styleId="25">
    <w:name w:val="页眉 字符"/>
    <w:link w:val="10"/>
    <w:qFormat/>
    <w:uiPriority w:val="99"/>
    <w:rPr>
      <w:sz w:val="18"/>
      <w:szCs w:val="18"/>
    </w:rPr>
  </w:style>
  <w:style w:type="paragraph" w:customStyle="1" w:styleId="2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7">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paragraph" w:styleId="28">
    <w:name w:val="List Paragraph"/>
    <w:basedOn w:val="1"/>
    <w:unhideWhenUsed/>
    <w:qFormat/>
    <w:uiPriority w:val="99"/>
    <w:pPr>
      <w:ind w:firstLine="420" w:firstLineChars="200"/>
    </w:pPr>
  </w:style>
  <w:style w:type="paragraph" w:customStyle="1" w:styleId="29">
    <w:name w:val="列出段落1"/>
    <w:basedOn w:val="30"/>
    <w:unhideWhenUsed/>
    <w:qFormat/>
    <w:uiPriority w:val="99"/>
    <w:pPr>
      <w:tabs>
        <w:tab w:val="center" w:pos="4153"/>
        <w:tab w:val="right" w:pos="8306"/>
      </w:tabs>
      <w:ind w:firstLine="420" w:firstLineChars="200"/>
    </w:pPr>
  </w:style>
  <w:style w:type="paragraph" w:customStyle="1" w:styleId="30">
    <w:name w:val="Header1"/>
    <w:basedOn w:val="31"/>
    <w:qFormat/>
    <w:uiPriority w:val="99"/>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pPr>
  </w:style>
  <w:style w:type="paragraph" w:customStyle="1" w:styleId="31">
    <w:name w:val="Footer1"/>
    <w:basedOn w:val="6"/>
    <w:qFormat/>
    <w:uiPriority w:val="99"/>
    <w:pPr>
      <w:tabs>
        <w:tab w:val="center" w:pos="4153"/>
        <w:tab w:val="right" w:pos="8306"/>
      </w:tabs>
      <w:jc w:val="left"/>
    </w:pPr>
    <w:rPr>
      <w:sz w:val="18"/>
    </w:rPr>
  </w:style>
  <w:style w:type="paragraph" w:customStyle="1" w:styleId="32">
    <w:name w:val="msonormal1"/>
    <w:qFormat/>
    <w:uiPriority w:val="0"/>
    <w:pPr>
      <w:widowControl w:val="0"/>
      <w:jc w:val="both"/>
    </w:pPr>
    <w:rPr>
      <w:rFonts w:asciiTheme="minorHAnsi" w:hAnsiTheme="minorHAnsi" w:eastAsiaTheme="minorEastAsia" w:cstheme="minorBidi"/>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5038</Words>
  <Characters>5283</Characters>
  <Lines>50</Lines>
  <Paragraphs>14</Paragraphs>
  <TotalTime>0</TotalTime>
  <ScaleCrop>false</ScaleCrop>
  <LinksUpToDate>false</LinksUpToDate>
  <CharactersWithSpaces>5365</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2020-12-17T02:37:00Z</dcterms:created>
  <dc:creator>USER</dc:creator>
  <cp:lastModifiedBy>会员部</cp:lastModifiedBy>
  <cp:lastPrinted>2021-11-01T03:34:00Z</cp:lastPrinted>
  <dcterms:modified xsi:type="dcterms:W3CDTF">2023-04-11T07:51:05Z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069220A28EC1494181E89E612C654D70</vt:lpwstr>
  </property>
</Properties>
</file>