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val="0"/>
        <w:overflowPunct/>
        <w:topLinePunct w:val="0"/>
        <w:autoSpaceDE/>
        <w:autoSpaceDN/>
        <w:bidi w:val="0"/>
        <w:adjustRightInd/>
        <w:snapToGrid w:val="0"/>
        <w:spacing w:line="560" w:lineRule="exact"/>
        <w:ind w:right="640"/>
        <w:textAlignment w:val="auto"/>
        <w:rPr>
          <w:rFonts w:hint="eastAsia" w:ascii="仿宋" w:hAnsi="仿宋" w:eastAsia="仿宋" w:cs="仿宋"/>
          <w:bCs/>
          <w:color w:val="auto"/>
          <w:spacing w:val="-20"/>
          <w:kern w:val="0"/>
          <w:sz w:val="30"/>
          <w:szCs w:val="30"/>
        </w:rPr>
      </w:pPr>
      <w:r>
        <w:rPr>
          <w:rFonts w:hint="eastAsia" w:ascii="仿宋" w:hAnsi="仿宋" w:eastAsia="仿宋" w:cs="仿宋"/>
          <w:bCs/>
          <w:color w:val="auto"/>
          <w:spacing w:val="-20"/>
          <w:kern w:val="0"/>
          <w:sz w:val="30"/>
          <w:szCs w:val="30"/>
        </w:rPr>
        <w:t>附件2:</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仿宋" w:hAnsi="仿宋" w:eastAsia="仿宋" w:cs="仿宋"/>
          <w:b/>
          <w:color w:val="000000"/>
          <w:spacing w:val="-20"/>
          <w:kern w:val="0"/>
          <w:sz w:val="30"/>
          <w:szCs w:val="30"/>
        </w:rPr>
      </w:pPr>
      <w:r>
        <w:rPr>
          <w:rFonts w:hint="eastAsia" w:ascii="仿宋" w:hAnsi="仿宋" w:eastAsia="仿宋" w:cs="仿宋"/>
          <w:b/>
          <w:color w:val="000000"/>
          <w:spacing w:val="-20"/>
          <w:kern w:val="0"/>
          <w:sz w:val="30"/>
          <w:szCs w:val="30"/>
        </w:rPr>
        <w:t>新时代行政事业单位财务与管理人员专业能力提升培训班专题内容</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仿宋" w:hAnsi="仿宋" w:eastAsia="仿宋" w:cs="仿宋"/>
          <w:b/>
          <w:color w:val="000000"/>
          <w:spacing w:val="-20"/>
          <w:kern w:val="0"/>
          <w:sz w:val="30"/>
          <w:szCs w:val="30"/>
        </w:rPr>
      </w:pP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jc w:val="left"/>
        <w:textAlignment w:val="auto"/>
        <w:rPr>
          <w:rFonts w:hint="eastAsia" w:ascii="黑体" w:hAnsi="黑体" w:eastAsia="黑体" w:cs="黑体"/>
          <w:b/>
          <w:bCs/>
          <w:sz w:val="30"/>
          <w:szCs w:val="30"/>
        </w:rPr>
      </w:pPr>
      <w:r>
        <w:rPr>
          <w:rFonts w:hint="eastAsia" w:ascii="黑体" w:hAnsi="黑体" w:eastAsia="黑体" w:cs="黑体"/>
          <w:b/>
          <w:bCs/>
          <w:sz w:val="30"/>
          <w:szCs w:val="30"/>
        </w:rPr>
        <w:t>专题一：新预算法实施条例下行政事业单位全面实施预算绩效管理与绩效</w:t>
      </w:r>
      <w:r>
        <w:rPr>
          <w:rFonts w:hint="eastAsia" w:ascii="黑体" w:hAnsi="黑体" w:eastAsia="黑体" w:cs="黑体"/>
          <w:b/>
          <w:bCs/>
          <w:spacing w:val="8"/>
          <w:sz w:val="30"/>
          <w:szCs w:val="30"/>
        </w:rPr>
        <w:t>评价</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323" w:firstLineChars="100"/>
        <w:jc w:val="left"/>
        <w:textAlignment w:val="auto"/>
        <w:rPr>
          <w:rFonts w:hint="eastAsia" w:ascii="楷体" w:hAnsi="楷体" w:eastAsia="楷体" w:cs="楷体"/>
          <w:b/>
          <w:spacing w:val="8"/>
          <w:sz w:val="30"/>
          <w:szCs w:val="30"/>
        </w:rPr>
      </w:pPr>
      <w:r>
        <w:rPr>
          <w:rFonts w:hint="eastAsia" w:ascii="楷体" w:hAnsi="楷体" w:eastAsia="楷体" w:cs="楷体"/>
          <w:b/>
          <w:spacing w:val="8"/>
          <w:sz w:val="30"/>
          <w:szCs w:val="30"/>
        </w:rPr>
        <w:t>专题介绍：</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2018年9月25日新华社授权发布《中共中央国务院关于全面实施预算绩效管理的意见》，财政部于2018年11月8日又印发了关于贯彻落实《中共中央国务院关于全面实施预算绩效管理的意见》的通知，（中发【2018】34号）精神，深化财税体制改革、建立现代财政制度、优化财政资源配置、提升公共服务质量水平，推进国家治理体系和治理能力现代化的实现,明确要求各地区各部门要切实把思想认识行动统一到党中央、国务院决策部署上来，把深入贯彻落实《意见》要求、全面实施预算绩效管理作为当前和今后一段时期财政预算工作的重点，真抓实干、常抓不懈，确保全面实施预算绩效管理各项改革任务落到实处。在国家治理现代化的大背景下，如何实现财政的重要支柱作用，建立现代预算制度，实现财政资金有效利用</w:t>
      </w:r>
      <w:r>
        <w:rPr>
          <w:rFonts w:hint="eastAsia" w:ascii="仿宋" w:hAnsi="仿宋" w:eastAsia="仿宋" w:cs="仿宋"/>
          <w:sz w:val="30"/>
          <w:szCs w:val="30"/>
          <w:lang w:val="en-US" w:eastAsia="zh-CN"/>
        </w:rPr>
        <w:t>就变得尤为紧迫和必要。</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200"/>
        <w:textAlignment w:val="auto"/>
        <w:rPr>
          <w:rFonts w:hint="eastAsia" w:ascii="仿宋" w:hAnsi="仿宋" w:eastAsia="仿宋" w:cs="仿宋"/>
          <w:sz w:val="30"/>
          <w:szCs w:val="30"/>
        </w:rPr>
      </w:pPr>
      <w:r>
        <w:rPr>
          <w:rFonts w:hint="eastAsia" w:ascii="仿宋" w:hAnsi="仿宋" w:eastAsia="仿宋" w:cs="仿宋"/>
          <w:sz w:val="30"/>
          <w:szCs w:val="30"/>
        </w:rPr>
        <w:t>《中华人民共和国预算法实施条例》已经正式公布，自2020年10月1日起施行。新预算法配套的新实施条例出台意义重大，预算制度改革进一步向前推进，预算管理更加科学、精细，有利于完善和创新财政宏观调控、提高国家治理能力，新条例也将对部门预算、财务管理与政府会计产生很大的影响。</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200"/>
        <w:textAlignment w:val="auto"/>
        <w:rPr>
          <w:rFonts w:hint="eastAsia" w:ascii="仿宋" w:hAnsi="仿宋" w:eastAsia="仿宋" w:cs="仿宋"/>
          <w:bCs/>
          <w:color w:val="auto"/>
          <w:spacing w:val="8"/>
          <w:kern w:val="2"/>
          <w:sz w:val="30"/>
          <w:szCs w:val="30"/>
        </w:rPr>
      </w:pPr>
      <w:r>
        <w:rPr>
          <w:rFonts w:hint="eastAsia" w:ascii="仿宋" w:hAnsi="仿宋" w:eastAsia="仿宋" w:cs="仿宋"/>
          <w:sz w:val="30"/>
          <w:szCs w:val="30"/>
        </w:rPr>
        <w:t>本专题为了帮助各行政事业单位财务人员学习最新的预算法实施条例，做好相关知识更新和业务能力提升，提高行政事业单位财务管理水平。</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323" w:firstLineChars="100"/>
        <w:jc w:val="left"/>
        <w:textAlignment w:val="auto"/>
        <w:rPr>
          <w:rFonts w:hint="eastAsia" w:ascii="楷体" w:hAnsi="楷体" w:eastAsia="楷体" w:cs="楷体"/>
          <w:b/>
          <w:spacing w:val="8"/>
          <w:sz w:val="30"/>
          <w:szCs w:val="30"/>
        </w:rPr>
      </w:pPr>
      <w:r>
        <w:rPr>
          <w:rFonts w:hint="eastAsia" w:ascii="楷体" w:hAnsi="楷体" w:eastAsia="楷体" w:cs="楷体"/>
          <w:b/>
          <w:spacing w:val="8"/>
          <w:sz w:val="30"/>
          <w:szCs w:val="30"/>
        </w:rPr>
        <w:t>课程内容：</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firstLine="646" w:firstLineChars="200"/>
        <w:jc w:val="left"/>
        <w:textAlignment w:val="auto"/>
        <w:rPr>
          <w:rFonts w:hint="eastAsia" w:ascii="仿宋" w:hAnsi="仿宋" w:eastAsia="仿宋" w:cs="仿宋"/>
          <w:bCs/>
          <w:color w:val="auto"/>
          <w:spacing w:val="8"/>
          <w:sz w:val="30"/>
          <w:szCs w:val="30"/>
        </w:rPr>
      </w:pPr>
      <w:r>
        <w:rPr>
          <w:rFonts w:hint="eastAsia" w:ascii="仿宋" w:hAnsi="仿宋" w:eastAsia="仿宋" w:cs="仿宋"/>
          <w:bCs/>
          <w:color w:val="auto"/>
          <w:spacing w:val="8"/>
          <w:sz w:val="30"/>
          <w:szCs w:val="30"/>
          <w:lang w:val="en-US" w:eastAsia="zh-CN"/>
        </w:rPr>
        <w:t>近年来</w:t>
      </w:r>
      <w:r>
        <w:rPr>
          <w:rFonts w:hint="eastAsia" w:ascii="仿宋" w:hAnsi="仿宋" w:eastAsia="仿宋" w:cs="仿宋"/>
          <w:bCs/>
          <w:color w:val="auto"/>
          <w:spacing w:val="8"/>
          <w:sz w:val="30"/>
          <w:szCs w:val="30"/>
        </w:rPr>
        <w:t>预算绩效评价工作重点</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firstLine="646" w:firstLineChars="200"/>
        <w:jc w:val="left"/>
        <w:textAlignment w:val="auto"/>
        <w:rPr>
          <w:rFonts w:hint="eastAsia" w:ascii="仿宋" w:hAnsi="仿宋" w:eastAsia="仿宋" w:cs="仿宋"/>
          <w:bCs/>
          <w:color w:val="auto"/>
          <w:spacing w:val="8"/>
          <w:sz w:val="30"/>
          <w:szCs w:val="30"/>
        </w:rPr>
      </w:pPr>
      <w:r>
        <w:rPr>
          <w:rFonts w:hint="eastAsia" w:ascii="仿宋" w:hAnsi="仿宋" w:eastAsia="仿宋" w:cs="仿宋"/>
          <w:bCs/>
          <w:color w:val="auto"/>
          <w:spacing w:val="8"/>
          <w:sz w:val="30"/>
          <w:szCs w:val="30"/>
        </w:rPr>
        <w:t>预算管理一体化建设总体思路和财务管理机制</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1272" w:leftChars="207" w:hanging="596" w:hangingChars="185"/>
        <w:jc w:val="left"/>
        <w:textAlignment w:val="auto"/>
        <w:rPr>
          <w:rFonts w:hint="eastAsia" w:ascii="仿宋" w:hAnsi="仿宋" w:eastAsia="仿宋" w:cs="仿宋"/>
          <w:bCs/>
          <w:color w:val="auto"/>
          <w:spacing w:val="8"/>
          <w:sz w:val="30"/>
          <w:szCs w:val="30"/>
        </w:rPr>
      </w:pPr>
      <w:r>
        <w:rPr>
          <w:rFonts w:hint="eastAsia" w:ascii="仿宋" w:hAnsi="仿宋" w:eastAsia="仿宋" w:cs="仿宋"/>
          <w:bCs/>
          <w:color w:val="auto"/>
          <w:spacing w:val="8"/>
          <w:sz w:val="30"/>
          <w:szCs w:val="30"/>
        </w:rPr>
        <w:t>行政事业单位开展预算绩效管理的现实意义及政策文件解读</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firstLine="646" w:firstLineChars="200"/>
        <w:jc w:val="left"/>
        <w:textAlignment w:val="auto"/>
        <w:rPr>
          <w:rFonts w:hint="eastAsia" w:ascii="仿宋" w:hAnsi="仿宋" w:eastAsia="仿宋" w:cs="仿宋"/>
          <w:bCs/>
          <w:color w:val="auto"/>
          <w:spacing w:val="8"/>
          <w:sz w:val="30"/>
          <w:szCs w:val="30"/>
        </w:rPr>
      </w:pPr>
      <w:r>
        <w:rPr>
          <w:rFonts w:hint="eastAsia" w:ascii="仿宋" w:hAnsi="仿宋" w:eastAsia="仿宋" w:cs="仿宋"/>
          <w:bCs/>
          <w:color w:val="auto"/>
          <w:spacing w:val="8"/>
          <w:sz w:val="30"/>
          <w:szCs w:val="30"/>
        </w:rPr>
        <w:t>绩效目标管理的路径和方法</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1276" w:leftChars="209" w:hanging="593" w:hangingChars="184"/>
        <w:jc w:val="left"/>
        <w:textAlignment w:val="auto"/>
        <w:rPr>
          <w:rFonts w:hint="eastAsia" w:ascii="仿宋" w:hAnsi="仿宋" w:eastAsia="仿宋" w:cs="仿宋"/>
          <w:bCs/>
          <w:color w:val="auto"/>
          <w:spacing w:val="8"/>
          <w:sz w:val="30"/>
          <w:szCs w:val="30"/>
        </w:rPr>
      </w:pPr>
      <w:r>
        <w:rPr>
          <w:rFonts w:hint="eastAsia" w:ascii="仿宋" w:hAnsi="仿宋" w:eastAsia="仿宋" w:cs="仿宋"/>
          <w:bCs/>
          <w:color w:val="auto"/>
          <w:spacing w:val="8"/>
          <w:sz w:val="30"/>
          <w:szCs w:val="30"/>
        </w:rPr>
        <w:t>高质量全过程绩效评价方案及报告撰写的思路和方法</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1276" w:leftChars="209" w:hanging="593" w:hangingChars="184"/>
        <w:jc w:val="left"/>
        <w:textAlignment w:val="auto"/>
        <w:rPr>
          <w:rFonts w:hint="eastAsia" w:ascii="仿宋" w:hAnsi="仿宋" w:eastAsia="仿宋" w:cs="仿宋"/>
          <w:bCs/>
          <w:color w:val="auto"/>
          <w:spacing w:val="8"/>
          <w:sz w:val="30"/>
          <w:szCs w:val="30"/>
        </w:rPr>
      </w:pPr>
      <w:r>
        <w:rPr>
          <w:rFonts w:hint="eastAsia" w:ascii="仿宋" w:hAnsi="仿宋" w:eastAsia="仿宋" w:cs="仿宋"/>
          <w:bCs/>
          <w:color w:val="auto"/>
          <w:spacing w:val="8"/>
          <w:sz w:val="30"/>
          <w:szCs w:val="30"/>
        </w:rPr>
        <w:t>部门整体支出和财政政策支出绩效评价制度设计及案例讲解</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firstLine="646" w:firstLineChars="200"/>
        <w:jc w:val="left"/>
        <w:textAlignment w:val="auto"/>
        <w:rPr>
          <w:rFonts w:hint="eastAsia" w:ascii="仿宋" w:hAnsi="仿宋" w:eastAsia="仿宋" w:cs="仿宋"/>
          <w:bCs/>
          <w:color w:val="auto"/>
          <w:spacing w:val="8"/>
          <w:sz w:val="30"/>
          <w:szCs w:val="30"/>
        </w:rPr>
      </w:pPr>
      <w:r>
        <w:rPr>
          <w:rFonts w:hint="eastAsia" w:ascii="仿宋" w:hAnsi="仿宋" w:eastAsia="仿宋" w:cs="仿宋"/>
          <w:bCs/>
          <w:color w:val="auto"/>
          <w:spacing w:val="8"/>
          <w:sz w:val="30"/>
          <w:szCs w:val="30"/>
        </w:rPr>
        <w:t>个性化及其针对性评价指标体系设置的思路和方法</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1276" w:leftChars="209" w:hanging="593" w:hangingChars="184"/>
        <w:jc w:val="left"/>
        <w:textAlignment w:val="auto"/>
        <w:rPr>
          <w:rFonts w:hint="eastAsia" w:ascii="仿宋" w:hAnsi="仿宋" w:eastAsia="仿宋" w:cs="仿宋"/>
          <w:bCs/>
          <w:color w:val="auto"/>
          <w:spacing w:val="8"/>
          <w:sz w:val="30"/>
          <w:szCs w:val="30"/>
        </w:rPr>
      </w:pPr>
      <w:r>
        <w:rPr>
          <w:rFonts w:hint="eastAsia" w:ascii="仿宋" w:hAnsi="仿宋" w:eastAsia="仿宋" w:cs="仿宋"/>
          <w:bCs/>
          <w:color w:val="auto"/>
          <w:spacing w:val="8"/>
          <w:sz w:val="30"/>
          <w:szCs w:val="30"/>
        </w:rPr>
        <w:t>绩效评价实务操作案例讲解（差评案例和优秀案例分析）</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jc w:val="left"/>
        <w:textAlignment w:val="auto"/>
        <w:rPr>
          <w:rFonts w:hint="eastAsia" w:ascii="黑体" w:hAnsi="黑体" w:eastAsia="黑体" w:cs="黑体"/>
          <w:b/>
          <w:bCs/>
          <w:sz w:val="30"/>
          <w:szCs w:val="30"/>
          <w:lang w:val="en-US" w:eastAsia="zh-CN"/>
        </w:rPr>
      </w:pPr>
      <w:r>
        <w:rPr>
          <w:rFonts w:hint="eastAsia" w:ascii="黑体" w:hAnsi="黑体" w:eastAsia="黑体" w:cs="黑体"/>
          <w:b/>
          <w:bCs/>
          <w:sz w:val="30"/>
          <w:szCs w:val="30"/>
        </w:rPr>
        <w:t>专题二：全面推进预算管理一体化建设与实施</w:t>
      </w: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firstLine="323" w:firstLineChars="100"/>
        <w:jc w:val="left"/>
        <w:textAlignment w:val="auto"/>
        <w:rPr>
          <w:rFonts w:hint="eastAsia" w:ascii="楷体" w:hAnsi="楷体" w:eastAsia="楷体" w:cs="楷体"/>
          <w:b/>
          <w:spacing w:val="8"/>
          <w:sz w:val="30"/>
          <w:szCs w:val="30"/>
        </w:rPr>
      </w:pPr>
      <w:r>
        <w:rPr>
          <w:rFonts w:hint="eastAsia" w:ascii="楷体" w:hAnsi="楷体" w:eastAsia="楷体" w:cs="楷体"/>
          <w:b/>
          <w:spacing w:val="8"/>
          <w:sz w:val="30"/>
          <w:szCs w:val="30"/>
        </w:rPr>
        <w:t>专题介绍：</w:t>
      </w:r>
    </w:p>
    <w:p>
      <w:pPr>
        <w:keepNext w:val="0"/>
        <w:keepLines w:val="0"/>
        <w:pageBreakBefore w:val="0"/>
        <w:kinsoku/>
        <w:wordWrap/>
        <w:overflowPunct/>
        <w:topLinePunct w:val="0"/>
        <w:autoSpaceDE/>
        <w:autoSpaceDN/>
        <w:bidi w:val="0"/>
        <w:adjustRightInd/>
        <w:snapToGrid/>
        <w:spacing w:line="560" w:lineRule="exact"/>
        <w:ind w:firstLine="614"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财政部制定发布了《预算管理一体化规范》和《预算管理一体化系统技术标准》，初步建立了各级预算管理统一的业务规范和系统建设标准。推进预算管理一体化，是加快建立完善现代预算制度，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推动国家治理体系和治理能力现代化的必然要求；是落实政府过紧日子要求，积极应对今后一段时期复杂经济社会形势的重要保障；也是深化预算制度改革的基础支撑，是完善财政基础工作，做好基础管理的必然选择。</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预算管理一体化是对财政改革成果的继承和发展。随着中央财政预算管理一体化系统建设稳步推进，我国财政管理改革已迈入全面建设“一体化”新阶段。预算管理一体化通过“管理+技术”方式整合了部门预算、预算执行、财务核算、银行账户管理、财政统发工资等财政业务，形成了横向一体、内部自洽、数据贯通的财政业务集群，为实现财政治理能力现代化奠定了坚实基础。</w:t>
      </w: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firstLine="323" w:firstLineChars="100"/>
        <w:jc w:val="left"/>
        <w:textAlignment w:val="auto"/>
        <w:rPr>
          <w:rFonts w:hint="eastAsia" w:ascii="楷体" w:hAnsi="楷体" w:eastAsia="楷体" w:cs="楷体"/>
          <w:b/>
          <w:spacing w:val="8"/>
          <w:sz w:val="30"/>
          <w:szCs w:val="30"/>
        </w:rPr>
      </w:pPr>
      <w:r>
        <w:rPr>
          <w:rFonts w:hint="eastAsia" w:ascii="楷体" w:hAnsi="楷体" w:eastAsia="楷体" w:cs="楷体"/>
          <w:b/>
          <w:spacing w:val="8"/>
          <w:sz w:val="30"/>
          <w:szCs w:val="30"/>
        </w:rPr>
        <w:t>课程内容：</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firstLine="646" w:firstLineChars="200"/>
        <w:jc w:val="left"/>
        <w:textAlignment w:val="auto"/>
        <w:rPr>
          <w:rFonts w:hint="eastAsia" w:ascii="仿宋" w:hAnsi="仿宋" w:eastAsia="仿宋" w:cs="仿宋"/>
          <w:bCs/>
          <w:color w:val="auto"/>
          <w:spacing w:val="8"/>
          <w:sz w:val="30"/>
          <w:szCs w:val="30"/>
        </w:rPr>
      </w:pPr>
      <w:r>
        <w:rPr>
          <w:rFonts w:hint="eastAsia" w:ascii="仿宋" w:hAnsi="仿宋" w:eastAsia="仿宋" w:cs="仿宋"/>
          <w:bCs/>
          <w:color w:val="auto"/>
          <w:spacing w:val="8"/>
          <w:sz w:val="30"/>
          <w:szCs w:val="30"/>
        </w:rPr>
        <w:t>预算和绩效管理一体化的背景及意义</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firstLine="646" w:firstLineChars="200"/>
        <w:jc w:val="left"/>
        <w:textAlignment w:val="auto"/>
        <w:rPr>
          <w:rFonts w:hint="eastAsia" w:ascii="仿宋" w:hAnsi="仿宋" w:eastAsia="仿宋" w:cs="仿宋"/>
          <w:bCs/>
          <w:color w:val="auto"/>
          <w:spacing w:val="8"/>
          <w:sz w:val="30"/>
          <w:szCs w:val="30"/>
        </w:rPr>
      </w:pPr>
      <w:r>
        <w:rPr>
          <w:rFonts w:hint="eastAsia" w:ascii="仿宋" w:hAnsi="仿宋" w:eastAsia="仿宋" w:cs="仿宋"/>
          <w:bCs/>
          <w:color w:val="auto"/>
          <w:spacing w:val="8"/>
          <w:sz w:val="30"/>
          <w:szCs w:val="30"/>
        </w:rPr>
        <w:t>预算和绩效管理一体化的国际国内情况</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firstLine="646" w:firstLineChars="200"/>
        <w:jc w:val="left"/>
        <w:textAlignment w:val="auto"/>
        <w:rPr>
          <w:rFonts w:hint="eastAsia" w:ascii="仿宋" w:hAnsi="仿宋" w:eastAsia="仿宋" w:cs="仿宋"/>
          <w:bCs/>
          <w:color w:val="auto"/>
          <w:spacing w:val="8"/>
          <w:sz w:val="30"/>
          <w:szCs w:val="30"/>
        </w:rPr>
      </w:pPr>
      <w:r>
        <w:rPr>
          <w:rFonts w:hint="eastAsia" w:ascii="仿宋" w:hAnsi="仿宋" w:eastAsia="仿宋" w:cs="仿宋"/>
          <w:bCs/>
          <w:color w:val="auto"/>
          <w:spacing w:val="8"/>
          <w:sz w:val="30"/>
          <w:szCs w:val="30"/>
        </w:rPr>
        <w:t>预算管理一体化相关制度解读</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firstLine="646" w:firstLineChars="200"/>
        <w:jc w:val="left"/>
        <w:textAlignment w:val="auto"/>
        <w:rPr>
          <w:rFonts w:hint="eastAsia" w:ascii="仿宋" w:hAnsi="仿宋" w:eastAsia="仿宋" w:cs="仿宋"/>
          <w:bCs/>
          <w:color w:val="auto"/>
          <w:spacing w:val="8"/>
          <w:sz w:val="30"/>
          <w:szCs w:val="30"/>
        </w:rPr>
      </w:pPr>
      <w:r>
        <w:rPr>
          <w:rFonts w:hint="eastAsia" w:ascii="仿宋" w:hAnsi="仿宋" w:eastAsia="仿宋" w:cs="仿宋"/>
          <w:bCs/>
          <w:color w:val="auto"/>
          <w:spacing w:val="8"/>
          <w:sz w:val="30"/>
          <w:szCs w:val="30"/>
        </w:rPr>
        <w:t>预算管理一体化建设总体思路和财务管理机制</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firstLine="646" w:firstLineChars="200"/>
        <w:jc w:val="left"/>
        <w:textAlignment w:val="auto"/>
        <w:rPr>
          <w:rFonts w:hint="eastAsia" w:ascii="仿宋" w:hAnsi="仿宋" w:eastAsia="仿宋" w:cs="仿宋"/>
          <w:bCs/>
          <w:color w:val="auto"/>
          <w:spacing w:val="8"/>
          <w:sz w:val="30"/>
          <w:szCs w:val="30"/>
        </w:rPr>
      </w:pPr>
      <w:r>
        <w:rPr>
          <w:rFonts w:hint="eastAsia" w:ascii="仿宋" w:hAnsi="仿宋" w:eastAsia="仿宋" w:cs="仿宋"/>
          <w:bCs/>
          <w:color w:val="auto"/>
          <w:spacing w:val="8"/>
          <w:sz w:val="30"/>
          <w:szCs w:val="30"/>
        </w:rPr>
        <w:t>预算的编制及执行</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firstLine="646" w:firstLineChars="200"/>
        <w:jc w:val="left"/>
        <w:textAlignment w:val="auto"/>
        <w:rPr>
          <w:rFonts w:hint="eastAsia" w:ascii="仿宋" w:hAnsi="仿宋" w:eastAsia="仿宋" w:cs="仿宋"/>
          <w:bCs/>
          <w:color w:val="auto"/>
          <w:spacing w:val="8"/>
          <w:sz w:val="30"/>
          <w:szCs w:val="30"/>
        </w:rPr>
      </w:pPr>
      <w:r>
        <w:rPr>
          <w:rFonts w:hint="eastAsia" w:ascii="仿宋" w:hAnsi="仿宋" w:eastAsia="仿宋" w:cs="仿宋"/>
          <w:bCs/>
          <w:color w:val="auto"/>
          <w:spacing w:val="8"/>
          <w:sz w:val="30"/>
          <w:szCs w:val="30"/>
        </w:rPr>
        <w:t>会计管理及实务讲解</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firstLine="646" w:firstLineChars="200"/>
        <w:jc w:val="left"/>
        <w:textAlignment w:val="auto"/>
        <w:rPr>
          <w:rFonts w:hint="eastAsia" w:ascii="仿宋" w:hAnsi="仿宋" w:eastAsia="仿宋" w:cs="仿宋"/>
          <w:bCs/>
          <w:color w:val="auto"/>
          <w:spacing w:val="8"/>
          <w:sz w:val="30"/>
          <w:szCs w:val="30"/>
        </w:rPr>
      </w:pPr>
      <w:r>
        <w:rPr>
          <w:rFonts w:hint="eastAsia" w:ascii="仿宋" w:hAnsi="仿宋" w:eastAsia="仿宋" w:cs="仿宋"/>
          <w:bCs/>
          <w:color w:val="auto"/>
          <w:spacing w:val="8"/>
          <w:sz w:val="30"/>
          <w:szCs w:val="30"/>
        </w:rPr>
        <w:t>直达资金预算管理</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firstLine="646" w:firstLineChars="200"/>
        <w:jc w:val="left"/>
        <w:textAlignment w:val="auto"/>
        <w:rPr>
          <w:rFonts w:hint="eastAsia" w:ascii="仿宋" w:hAnsi="仿宋" w:eastAsia="仿宋" w:cs="仿宋"/>
          <w:bCs/>
          <w:color w:val="auto"/>
          <w:spacing w:val="8"/>
          <w:sz w:val="30"/>
          <w:szCs w:val="30"/>
        </w:rPr>
      </w:pPr>
      <w:r>
        <w:rPr>
          <w:rFonts w:hint="eastAsia" w:ascii="仿宋" w:hAnsi="仿宋" w:eastAsia="仿宋" w:cs="仿宋"/>
          <w:bCs/>
          <w:color w:val="auto"/>
          <w:spacing w:val="8"/>
          <w:sz w:val="30"/>
          <w:szCs w:val="30"/>
        </w:rPr>
        <w:t>预算管理一体化建设的技术标准</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firstLine="646" w:firstLineChars="200"/>
        <w:jc w:val="left"/>
        <w:textAlignment w:val="auto"/>
        <w:rPr>
          <w:rFonts w:hint="eastAsia" w:ascii="仿宋" w:hAnsi="仿宋" w:eastAsia="仿宋" w:cs="仿宋"/>
          <w:bCs/>
          <w:color w:val="auto"/>
          <w:spacing w:val="8"/>
          <w:sz w:val="30"/>
          <w:szCs w:val="30"/>
        </w:rPr>
      </w:pPr>
      <w:r>
        <w:rPr>
          <w:rFonts w:hint="eastAsia" w:ascii="仿宋" w:hAnsi="仿宋" w:eastAsia="仿宋" w:cs="仿宋"/>
          <w:bCs/>
          <w:color w:val="auto"/>
          <w:spacing w:val="8"/>
          <w:sz w:val="30"/>
          <w:szCs w:val="30"/>
        </w:rPr>
        <w:t>结构化研讨：预算管理一体化经验分享</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firstLine="646" w:firstLineChars="200"/>
        <w:jc w:val="left"/>
        <w:textAlignment w:val="auto"/>
        <w:rPr>
          <w:rFonts w:hint="eastAsia" w:ascii="仿宋" w:hAnsi="仿宋" w:eastAsia="仿宋" w:cs="仿宋"/>
          <w:bCs/>
          <w:color w:val="auto"/>
          <w:spacing w:val="8"/>
          <w:sz w:val="30"/>
          <w:szCs w:val="30"/>
        </w:rPr>
      </w:pPr>
      <w:r>
        <w:rPr>
          <w:rFonts w:hint="eastAsia" w:ascii="仿宋" w:hAnsi="仿宋" w:eastAsia="仿宋" w:cs="仿宋"/>
          <w:bCs/>
          <w:color w:val="auto"/>
          <w:spacing w:val="8"/>
          <w:sz w:val="30"/>
          <w:szCs w:val="30"/>
        </w:rPr>
        <w:t>预算管理一体化管理机制创新</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firstLine="646" w:firstLineChars="200"/>
        <w:jc w:val="left"/>
        <w:textAlignment w:val="auto"/>
        <w:rPr>
          <w:rFonts w:hint="eastAsia" w:ascii="仿宋" w:hAnsi="仿宋" w:eastAsia="仿宋" w:cs="仿宋"/>
          <w:bCs/>
          <w:color w:val="auto"/>
          <w:spacing w:val="8"/>
          <w:sz w:val="30"/>
          <w:szCs w:val="30"/>
        </w:rPr>
      </w:pPr>
      <w:r>
        <w:rPr>
          <w:rFonts w:hint="eastAsia" w:ascii="仿宋" w:hAnsi="仿宋" w:eastAsia="仿宋" w:cs="仿宋"/>
          <w:bCs/>
          <w:color w:val="auto"/>
          <w:spacing w:val="8"/>
          <w:sz w:val="30"/>
          <w:szCs w:val="30"/>
        </w:rPr>
        <w:t>预算管理一体化对政府部门财务与会计</w:t>
      </w:r>
      <w:r>
        <w:rPr>
          <w:rFonts w:hint="eastAsia" w:ascii="仿宋" w:hAnsi="仿宋" w:eastAsia="仿宋" w:cs="仿宋"/>
          <w:bCs/>
          <w:color w:val="auto"/>
          <w:spacing w:val="8"/>
          <w:sz w:val="30"/>
          <w:szCs w:val="30"/>
          <w:lang w:eastAsia="zh-CN"/>
        </w:rPr>
        <w:t>的</w:t>
      </w:r>
      <w:r>
        <w:rPr>
          <w:rFonts w:hint="eastAsia" w:ascii="仿宋" w:hAnsi="仿宋" w:eastAsia="仿宋" w:cs="仿宋"/>
          <w:bCs/>
          <w:color w:val="auto"/>
          <w:spacing w:val="8"/>
          <w:sz w:val="30"/>
          <w:szCs w:val="30"/>
        </w:rPr>
        <w:t>影响</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b/>
          <w:bCs/>
          <w:sz w:val="30"/>
          <w:szCs w:val="30"/>
        </w:rPr>
      </w:pPr>
      <w:r>
        <w:rPr>
          <w:rFonts w:hint="eastAsia" w:ascii="黑体" w:hAnsi="黑体" w:eastAsia="黑体" w:cs="黑体"/>
          <w:b/>
          <w:bCs/>
          <w:sz w:val="30"/>
          <w:szCs w:val="30"/>
        </w:rPr>
        <w:t>专题三：政府会计准则（制度）热点难点问题实操案例解析</w:t>
      </w:r>
    </w:p>
    <w:p>
      <w:pPr>
        <w:keepNext w:val="0"/>
        <w:keepLines w:val="0"/>
        <w:pageBreakBefore w:val="0"/>
        <w:widowControl/>
        <w:numPr>
          <w:ilvl w:val="0"/>
          <w:numId w:val="4"/>
        </w:numPr>
        <w:kinsoku/>
        <w:wordWrap/>
        <w:overflowPunct/>
        <w:topLinePunct w:val="0"/>
        <w:autoSpaceDE/>
        <w:autoSpaceDN/>
        <w:bidi w:val="0"/>
        <w:adjustRightInd/>
        <w:snapToGrid/>
        <w:spacing w:line="560" w:lineRule="exact"/>
        <w:ind w:firstLine="323" w:firstLineChars="100"/>
        <w:jc w:val="left"/>
        <w:textAlignment w:val="auto"/>
        <w:rPr>
          <w:rFonts w:hint="eastAsia" w:ascii="楷体" w:hAnsi="楷体" w:eastAsia="楷体" w:cs="楷体"/>
          <w:b/>
          <w:spacing w:val="8"/>
          <w:sz w:val="30"/>
          <w:szCs w:val="30"/>
        </w:rPr>
      </w:pPr>
      <w:r>
        <w:rPr>
          <w:rFonts w:hint="eastAsia" w:ascii="楷体" w:hAnsi="楷体" w:eastAsia="楷体" w:cs="楷体"/>
          <w:b/>
          <w:spacing w:val="8"/>
          <w:sz w:val="30"/>
          <w:szCs w:val="30"/>
        </w:rPr>
        <w:t>专题介绍：</w:t>
      </w:r>
    </w:p>
    <w:p>
      <w:pPr>
        <w:keepNext w:val="0"/>
        <w:keepLines w:val="0"/>
        <w:pageBreakBefore w:val="0"/>
        <w:widowControl/>
        <w:kinsoku/>
        <w:wordWrap/>
        <w:overflowPunct/>
        <w:topLinePunct w:val="0"/>
        <w:autoSpaceDE/>
        <w:autoSpaceDN/>
        <w:bidi w:val="0"/>
        <w:adjustRightInd/>
        <w:snapToGrid/>
        <w:spacing w:line="560" w:lineRule="exact"/>
        <w:ind w:firstLine="646" w:firstLineChars="200"/>
        <w:jc w:val="left"/>
        <w:textAlignment w:val="auto"/>
        <w:rPr>
          <w:rFonts w:hint="eastAsia" w:ascii="仿宋" w:hAnsi="仿宋" w:eastAsia="仿宋" w:cs="仿宋"/>
          <w:bCs/>
          <w:color w:val="auto"/>
          <w:spacing w:val="8"/>
          <w:sz w:val="30"/>
          <w:szCs w:val="30"/>
        </w:rPr>
      </w:pPr>
      <w:r>
        <w:rPr>
          <w:rFonts w:hint="eastAsia" w:ascii="仿宋" w:hAnsi="仿宋" w:eastAsia="仿宋" w:cs="仿宋"/>
          <w:bCs/>
          <w:color w:val="auto"/>
          <w:spacing w:val="8"/>
          <w:sz w:val="30"/>
          <w:szCs w:val="30"/>
          <w:lang w:val="en-US" w:eastAsia="zh-CN"/>
        </w:rPr>
        <w:t>自</w:t>
      </w:r>
      <w:r>
        <w:rPr>
          <w:rFonts w:hint="eastAsia" w:ascii="仿宋" w:hAnsi="仿宋" w:eastAsia="仿宋" w:cs="仿宋"/>
          <w:bCs/>
          <w:color w:val="auto"/>
          <w:spacing w:val="8"/>
          <w:sz w:val="30"/>
          <w:szCs w:val="30"/>
        </w:rPr>
        <w:t>我国政府会计准则与政府会计制度实施，已基本建成并正在稳步实施，包括1项基本准则、10项具体准则、2项应用指南、1项统一的政府会计制度、9项行业补充规定和4项解释在内的具有中国特色的政府会计准则制度体系，政府会计信息内容不断丰富、信息质量不断提高，为开展政府信用评级、加强资产负债管理、改进政府绩效监督考核、防范财政风险等提供了有力支撑。</w:t>
      </w:r>
    </w:p>
    <w:p>
      <w:pPr>
        <w:keepNext w:val="0"/>
        <w:keepLines w:val="0"/>
        <w:pageBreakBefore w:val="0"/>
        <w:widowControl/>
        <w:kinsoku/>
        <w:wordWrap/>
        <w:overflowPunct/>
        <w:topLinePunct w:val="0"/>
        <w:autoSpaceDE/>
        <w:autoSpaceDN/>
        <w:bidi w:val="0"/>
        <w:adjustRightInd/>
        <w:snapToGrid/>
        <w:spacing w:line="560" w:lineRule="exact"/>
        <w:ind w:firstLine="646" w:firstLineChars="200"/>
        <w:jc w:val="left"/>
        <w:textAlignment w:val="auto"/>
        <w:rPr>
          <w:rFonts w:hint="eastAsia" w:ascii="仿宋" w:hAnsi="仿宋" w:eastAsia="仿宋" w:cs="仿宋"/>
          <w:bCs/>
          <w:color w:val="auto"/>
          <w:spacing w:val="8"/>
          <w:sz w:val="30"/>
          <w:szCs w:val="30"/>
        </w:rPr>
      </w:pPr>
      <w:r>
        <w:rPr>
          <w:rFonts w:hint="eastAsia" w:ascii="仿宋" w:hAnsi="仿宋" w:eastAsia="仿宋" w:cs="仿宋"/>
          <w:bCs/>
          <w:color w:val="auto"/>
          <w:spacing w:val="8"/>
          <w:sz w:val="30"/>
          <w:szCs w:val="30"/>
          <w:lang w:val="en-US" w:eastAsia="zh-CN"/>
        </w:rPr>
        <w:t>但各单位实践过程中都会</w:t>
      </w:r>
      <w:r>
        <w:rPr>
          <w:rFonts w:hint="eastAsia" w:ascii="仿宋" w:hAnsi="仿宋" w:eastAsia="仿宋" w:cs="仿宋"/>
          <w:bCs/>
          <w:color w:val="auto"/>
          <w:spacing w:val="8"/>
          <w:sz w:val="30"/>
          <w:szCs w:val="30"/>
        </w:rPr>
        <w:t>遇到核算层面和管理层面的种种问题；同时，政府会计具体准则和应用指南还在继续制定之中。因此，政府财务与管理人员需要进一步全面贯彻理解政府会计准则制度的核心要义，快速掌握政府会计准则制度实践中存在的具体问题的解决方式和会计处理规范。</w:t>
      </w:r>
    </w:p>
    <w:p>
      <w:pPr>
        <w:keepNext w:val="0"/>
        <w:keepLines w:val="0"/>
        <w:pageBreakBefore w:val="0"/>
        <w:widowControl/>
        <w:numPr>
          <w:ilvl w:val="0"/>
          <w:numId w:val="4"/>
        </w:numPr>
        <w:kinsoku/>
        <w:wordWrap/>
        <w:overflowPunct/>
        <w:topLinePunct w:val="0"/>
        <w:autoSpaceDE/>
        <w:autoSpaceDN/>
        <w:bidi w:val="0"/>
        <w:adjustRightInd/>
        <w:snapToGrid/>
        <w:spacing w:line="560" w:lineRule="exact"/>
        <w:ind w:firstLine="323" w:firstLineChars="100"/>
        <w:jc w:val="left"/>
        <w:textAlignment w:val="auto"/>
        <w:rPr>
          <w:rFonts w:hint="eastAsia" w:ascii="楷体" w:hAnsi="楷体" w:eastAsia="楷体" w:cs="楷体"/>
          <w:b/>
          <w:spacing w:val="8"/>
          <w:sz w:val="30"/>
          <w:szCs w:val="30"/>
        </w:rPr>
      </w:pPr>
      <w:r>
        <w:rPr>
          <w:rFonts w:hint="eastAsia" w:ascii="楷体" w:hAnsi="楷体" w:eastAsia="楷体" w:cs="楷体"/>
          <w:b/>
          <w:spacing w:val="8"/>
          <w:sz w:val="30"/>
          <w:szCs w:val="30"/>
        </w:rPr>
        <w:t>课程内容：</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firstLine="646" w:firstLineChars="200"/>
        <w:jc w:val="left"/>
        <w:textAlignment w:val="auto"/>
        <w:rPr>
          <w:rFonts w:hint="eastAsia" w:ascii="仿宋" w:hAnsi="仿宋" w:eastAsia="仿宋" w:cs="仿宋"/>
          <w:bCs/>
          <w:color w:val="auto"/>
          <w:spacing w:val="8"/>
          <w:sz w:val="30"/>
          <w:szCs w:val="30"/>
        </w:rPr>
      </w:pPr>
      <w:r>
        <w:rPr>
          <w:rFonts w:hint="eastAsia" w:ascii="仿宋" w:hAnsi="仿宋" w:eastAsia="仿宋" w:cs="仿宋"/>
          <w:bCs/>
          <w:color w:val="auto"/>
          <w:spacing w:val="8"/>
          <w:sz w:val="30"/>
          <w:szCs w:val="30"/>
        </w:rPr>
        <w:t>政府会计制度实施中热点难点问题</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firstLine="646" w:firstLineChars="200"/>
        <w:jc w:val="left"/>
        <w:textAlignment w:val="auto"/>
        <w:rPr>
          <w:rFonts w:hint="eastAsia" w:ascii="仿宋" w:hAnsi="仿宋" w:eastAsia="仿宋" w:cs="仿宋"/>
          <w:bCs/>
          <w:color w:val="auto"/>
          <w:spacing w:val="8"/>
          <w:sz w:val="30"/>
          <w:szCs w:val="30"/>
        </w:rPr>
      </w:pPr>
      <w:r>
        <w:rPr>
          <w:rFonts w:hint="eastAsia" w:ascii="仿宋" w:hAnsi="仿宋" w:eastAsia="仿宋" w:cs="仿宋"/>
          <w:bCs/>
          <w:color w:val="auto"/>
          <w:spacing w:val="8"/>
          <w:sz w:val="30"/>
          <w:szCs w:val="30"/>
        </w:rPr>
        <w:t>政府会计准则最新进展</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firstLine="646" w:firstLineChars="200"/>
        <w:jc w:val="left"/>
        <w:textAlignment w:val="auto"/>
        <w:rPr>
          <w:rFonts w:hint="eastAsia" w:ascii="仿宋" w:hAnsi="仿宋" w:eastAsia="仿宋" w:cs="仿宋"/>
          <w:bCs/>
          <w:color w:val="auto"/>
          <w:spacing w:val="8"/>
          <w:sz w:val="30"/>
          <w:szCs w:val="30"/>
        </w:rPr>
      </w:pPr>
      <w:r>
        <w:rPr>
          <w:rFonts w:hint="eastAsia" w:ascii="仿宋" w:hAnsi="仿宋" w:eastAsia="仿宋" w:cs="仿宋"/>
          <w:bCs/>
          <w:color w:val="auto"/>
          <w:spacing w:val="8"/>
          <w:sz w:val="30"/>
          <w:szCs w:val="30"/>
        </w:rPr>
        <w:t>政府会计调整具体准则解读</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firstLine="646" w:firstLineChars="200"/>
        <w:jc w:val="left"/>
        <w:textAlignment w:val="auto"/>
        <w:rPr>
          <w:rFonts w:hint="eastAsia" w:ascii="仿宋" w:hAnsi="仿宋" w:eastAsia="仿宋" w:cs="仿宋"/>
          <w:bCs/>
          <w:color w:val="auto"/>
          <w:spacing w:val="8"/>
          <w:sz w:val="30"/>
          <w:szCs w:val="30"/>
        </w:rPr>
      </w:pPr>
      <w:r>
        <w:rPr>
          <w:rFonts w:hint="eastAsia" w:ascii="仿宋" w:hAnsi="仿宋" w:eastAsia="仿宋" w:cs="仿宋"/>
          <w:bCs/>
          <w:color w:val="auto"/>
          <w:spacing w:val="8"/>
          <w:sz w:val="30"/>
          <w:szCs w:val="30"/>
        </w:rPr>
        <w:t>政府会计负债具体准则解读</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firstLine="646" w:firstLineChars="200"/>
        <w:jc w:val="left"/>
        <w:textAlignment w:val="auto"/>
        <w:rPr>
          <w:rFonts w:hint="eastAsia" w:ascii="仿宋" w:hAnsi="仿宋" w:eastAsia="仿宋" w:cs="仿宋"/>
          <w:bCs/>
          <w:color w:val="auto"/>
          <w:spacing w:val="8"/>
          <w:sz w:val="30"/>
          <w:szCs w:val="30"/>
        </w:rPr>
      </w:pPr>
      <w:r>
        <w:rPr>
          <w:rFonts w:hint="eastAsia" w:ascii="仿宋" w:hAnsi="仿宋" w:eastAsia="仿宋" w:cs="仿宋"/>
          <w:bCs/>
          <w:color w:val="auto"/>
          <w:spacing w:val="8"/>
          <w:sz w:val="30"/>
          <w:szCs w:val="30"/>
        </w:rPr>
        <w:t>政府财务报表编制与列报具体准则解读</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firstLine="646" w:firstLineChars="200"/>
        <w:jc w:val="left"/>
        <w:textAlignment w:val="auto"/>
        <w:rPr>
          <w:rFonts w:hint="eastAsia" w:ascii="仿宋" w:hAnsi="仿宋" w:eastAsia="仿宋" w:cs="仿宋"/>
          <w:bCs/>
          <w:color w:val="auto"/>
          <w:spacing w:val="8"/>
          <w:sz w:val="30"/>
          <w:szCs w:val="30"/>
        </w:rPr>
      </w:pPr>
      <w:r>
        <w:rPr>
          <w:rFonts w:hint="eastAsia" w:ascii="仿宋" w:hAnsi="仿宋" w:eastAsia="仿宋" w:cs="仿宋"/>
          <w:bCs/>
          <w:color w:val="auto"/>
          <w:spacing w:val="8"/>
          <w:sz w:val="30"/>
          <w:szCs w:val="30"/>
        </w:rPr>
        <w:t>政府财务报表分析</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b/>
          <w:bCs/>
          <w:sz w:val="30"/>
          <w:szCs w:val="30"/>
        </w:rPr>
      </w:pPr>
      <w:r>
        <w:rPr>
          <w:rFonts w:hint="eastAsia" w:ascii="黑体" w:hAnsi="黑体" w:eastAsia="黑体" w:cs="黑体"/>
          <w:b/>
          <w:bCs/>
          <w:sz w:val="30"/>
          <w:szCs w:val="30"/>
        </w:rPr>
        <w:t>专题四：行政事业单位内部控制与运行评价、内部控制报告编报</w:t>
      </w:r>
    </w:p>
    <w:p>
      <w:pPr>
        <w:keepNext w:val="0"/>
        <w:keepLines w:val="0"/>
        <w:pageBreakBefore w:val="0"/>
        <w:widowControl/>
        <w:numPr>
          <w:ilvl w:val="0"/>
          <w:numId w:val="5"/>
        </w:numPr>
        <w:kinsoku/>
        <w:wordWrap/>
        <w:overflowPunct/>
        <w:topLinePunct w:val="0"/>
        <w:autoSpaceDE/>
        <w:autoSpaceDN/>
        <w:bidi w:val="0"/>
        <w:adjustRightInd/>
        <w:snapToGrid/>
        <w:spacing w:line="560" w:lineRule="exact"/>
        <w:ind w:firstLine="323" w:firstLineChars="100"/>
        <w:jc w:val="left"/>
        <w:textAlignment w:val="auto"/>
        <w:rPr>
          <w:rFonts w:hint="eastAsia" w:ascii="楷体" w:hAnsi="楷体" w:eastAsia="楷体" w:cs="楷体"/>
          <w:b/>
          <w:spacing w:val="8"/>
          <w:sz w:val="30"/>
          <w:szCs w:val="30"/>
        </w:rPr>
      </w:pPr>
      <w:r>
        <w:rPr>
          <w:rFonts w:hint="eastAsia" w:ascii="楷体" w:hAnsi="楷体" w:eastAsia="楷体" w:cs="楷体"/>
          <w:b/>
          <w:spacing w:val="8"/>
          <w:sz w:val="30"/>
          <w:szCs w:val="30"/>
        </w:rPr>
        <w:t>专题介绍：</w:t>
      </w:r>
    </w:p>
    <w:p>
      <w:pPr>
        <w:keepNext w:val="0"/>
        <w:keepLines w:val="0"/>
        <w:pageBreakBefore w:val="0"/>
        <w:widowControl/>
        <w:kinsoku/>
        <w:wordWrap/>
        <w:overflowPunct/>
        <w:topLinePunct w:val="0"/>
        <w:autoSpaceDE/>
        <w:autoSpaceDN/>
        <w:bidi w:val="0"/>
        <w:adjustRightInd/>
        <w:snapToGrid/>
        <w:spacing w:line="560" w:lineRule="exact"/>
        <w:ind w:firstLine="646" w:firstLineChars="200"/>
        <w:jc w:val="left"/>
        <w:textAlignment w:val="auto"/>
        <w:rPr>
          <w:rFonts w:hint="eastAsia" w:ascii="仿宋" w:hAnsi="仿宋" w:eastAsia="仿宋" w:cs="仿宋"/>
          <w:bCs/>
          <w:color w:val="auto"/>
          <w:spacing w:val="8"/>
          <w:sz w:val="30"/>
          <w:szCs w:val="30"/>
        </w:rPr>
      </w:pPr>
      <w:r>
        <w:rPr>
          <w:rFonts w:hint="eastAsia" w:ascii="仿宋" w:hAnsi="仿宋" w:eastAsia="仿宋" w:cs="仿宋"/>
          <w:bCs/>
          <w:color w:val="auto"/>
          <w:spacing w:val="8"/>
          <w:sz w:val="30"/>
          <w:szCs w:val="30"/>
        </w:rPr>
        <w:t>行政事业单位内部控制制度建设有助于提高行政事业单位财务管理水平，防范行政事业单位财务风险。2012年以来，财政部先后发布了《行政事业单位内部控制规范》、《财政部关于全面推进行政事业单位内部控制建设的指导意见》和《行政事业单位内部控制报告管理制度》等文件。因此，系统学习和领会相关文件精神，对于促进行政事业单位财务管理水平，具有重要意义。</w:t>
      </w:r>
    </w:p>
    <w:p>
      <w:pPr>
        <w:keepNext w:val="0"/>
        <w:keepLines w:val="0"/>
        <w:pageBreakBefore w:val="0"/>
        <w:widowControl/>
        <w:kinsoku/>
        <w:wordWrap/>
        <w:overflowPunct/>
        <w:topLinePunct w:val="0"/>
        <w:autoSpaceDE/>
        <w:autoSpaceDN/>
        <w:bidi w:val="0"/>
        <w:adjustRightInd/>
        <w:snapToGrid/>
        <w:spacing w:line="560" w:lineRule="exact"/>
        <w:ind w:firstLine="646" w:firstLineChars="200"/>
        <w:jc w:val="left"/>
        <w:textAlignment w:val="auto"/>
        <w:rPr>
          <w:rFonts w:hint="eastAsia" w:ascii="仿宋" w:hAnsi="仿宋" w:eastAsia="仿宋" w:cs="仿宋"/>
          <w:bCs/>
          <w:color w:val="auto"/>
          <w:spacing w:val="8"/>
          <w:sz w:val="30"/>
          <w:szCs w:val="30"/>
        </w:rPr>
      </w:pPr>
    </w:p>
    <w:p>
      <w:pPr>
        <w:keepNext w:val="0"/>
        <w:keepLines w:val="0"/>
        <w:pageBreakBefore w:val="0"/>
        <w:widowControl/>
        <w:numPr>
          <w:ilvl w:val="0"/>
          <w:numId w:val="5"/>
        </w:numPr>
        <w:kinsoku/>
        <w:wordWrap/>
        <w:overflowPunct/>
        <w:topLinePunct w:val="0"/>
        <w:autoSpaceDE/>
        <w:autoSpaceDN/>
        <w:bidi w:val="0"/>
        <w:adjustRightInd/>
        <w:snapToGrid/>
        <w:spacing w:line="560" w:lineRule="exact"/>
        <w:ind w:firstLine="323" w:firstLineChars="100"/>
        <w:jc w:val="left"/>
        <w:textAlignment w:val="auto"/>
        <w:rPr>
          <w:rFonts w:hint="eastAsia" w:ascii="楷体" w:hAnsi="楷体" w:eastAsia="楷体" w:cs="楷体"/>
          <w:b/>
          <w:spacing w:val="8"/>
          <w:sz w:val="30"/>
          <w:szCs w:val="30"/>
        </w:rPr>
      </w:pPr>
      <w:r>
        <w:rPr>
          <w:rFonts w:hint="eastAsia" w:ascii="楷体" w:hAnsi="楷体" w:eastAsia="楷体" w:cs="楷体"/>
          <w:b/>
          <w:spacing w:val="8"/>
          <w:sz w:val="30"/>
          <w:szCs w:val="30"/>
        </w:rPr>
        <w:t>课程内容：</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firstLine="646" w:firstLineChars="200"/>
        <w:jc w:val="left"/>
        <w:textAlignment w:val="auto"/>
        <w:rPr>
          <w:rFonts w:hint="eastAsia" w:ascii="仿宋" w:hAnsi="仿宋" w:eastAsia="仿宋" w:cs="仿宋"/>
          <w:bCs/>
          <w:color w:val="auto"/>
          <w:spacing w:val="8"/>
          <w:sz w:val="30"/>
          <w:szCs w:val="30"/>
        </w:rPr>
      </w:pPr>
      <w:r>
        <w:rPr>
          <w:rFonts w:hint="eastAsia" w:ascii="仿宋" w:hAnsi="仿宋" w:eastAsia="仿宋" w:cs="仿宋"/>
          <w:bCs/>
          <w:color w:val="auto"/>
          <w:spacing w:val="8"/>
          <w:sz w:val="30"/>
          <w:szCs w:val="30"/>
        </w:rPr>
        <w:t>行政事业单位内部控制建设最新进展</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firstLine="646" w:firstLineChars="200"/>
        <w:jc w:val="left"/>
        <w:textAlignment w:val="auto"/>
        <w:rPr>
          <w:rFonts w:hint="eastAsia" w:ascii="仿宋" w:hAnsi="仿宋" w:eastAsia="仿宋" w:cs="仿宋"/>
          <w:bCs/>
          <w:color w:val="auto"/>
          <w:spacing w:val="8"/>
          <w:sz w:val="30"/>
          <w:szCs w:val="30"/>
        </w:rPr>
      </w:pPr>
      <w:r>
        <w:rPr>
          <w:rFonts w:hint="eastAsia" w:ascii="仿宋" w:hAnsi="仿宋" w:eastAsia="仿宋" w:cs="仿宋"/>
          <w:bCs/>
          <w:color w:val="auto"/>
          <w:spacing w:val="8"/>
          <w:sz w:val="30"/>
          <w:szCs w:val="30"/>
        </w:rPr>
        <w:t>行政事业单位内控运行评价报告如何撰写</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firstLine="646" w:firstLineChars="200"/>
        <w:jc w:val="left"/>
        <w:textAlignment w:val="auto"/>
        <w:rPr>
          <w:rFonts w:hint="eastAsia" w:ascii="仿宋" w:hAnsi="仿宋" w:eastAsia="仿宋" w:cs="仿宋"/>
          <w:bCs/>
          <w:color w:val="auto"/>
          <w:spacing w:val="8"/>
          <w:sz w:val="30"/>
          <w:szCs w:val="30"/>
        </w:rPr>
      </w:pPr>
      <w:r>
        <w:rPr>
          <w:rFonts w:hint="eastAsia" w:ascii="仿宋" w:hAnsi="仿宋" w:eastAsia="仿宋" w:cs="仿宋"/>
          <w:bCs/>
          <w:color w:val="auto"/>
          <w:spacing w:val="8"/>
          <w:sz w:val="30"/>
          <w:szCs w:val="30"/>
        </w:rPr>
        <w:t>行政事业单位内控建设工作步骤</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firstLine="646" w:firstLineChars="200"/>
        <w:jc w:val="left"/>
        <w:textAlignment w:val="auto"/>
        <w:rPr>
          <w:rFonts w:hint="eastAsia" w:ascii="仿宋" w:hAnsi="仿宋" w:eastAsia="仿宋" w:cs="仿宋"/>
          <w:bCs/>
          <w:color w:val="auto"/>
          <w:spacing w:val="8"/>
          <w:sz w:val="30"/>
          <w:szCs w:val="30"/>
        </w:rPr>
      </w:pPr>
      <w:r>
        <w:rPr>
          <w:rFonts w:hint="eastAsia" w:ascii="仿宋" w:hAnsi="仿宋" w:eastAsia="仿宋" w:cs="仿宋"/>
          <w:bCs/>
          <w:color w:val="auto"/>
          <w:spacing w:val="8"/>
          <w:sz w:val="30"/>
          <w:szCs w:val="30"/>
        </w:rPr>
        <w:t>单位层面内部控制流程梳理</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firstLine="646" w:firstLineChars="200"/>
        <w:jc w:val="left"/>
        <w:textAlignment w:val="auto"/>
        <w:rPr>
          <w:rFonts w:hint="eastAsia" w:ascii="仿宋" w:hAnsi="仿宋" w:eastAsia="仿宋" w:cs="仿宋"/>
          <w:bCs/>
          <w:color w:val="auto"/>
          <w:spacing w:val="8"/>
          <w:sz w:val="30"/>
          <w:szCs w:val="30"/>
        </w:rPr>
      </w:pPr>
      <w:r>
        <w:rPr>
          <w:rFonts w:hint="eastAsia" w:ascii="仿宋" w:hAnsi="仿宋" w:eastAsia="仿宋" w:cs="仿宋"/>
          <w:bCs/>
          <w:color w:val="auto"/>
          <w:spacing w:val="8"/>
          <w:sz w:val="30"/>
          <w:szCs w:val="30"/>
        </w:rPr>
        <w:t>业务流程层面内控流程梳理</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firstLine="646" w:firstLineChars="200"/>
        <w:jc w:val="left"/>
        <w:textAlignment w:val="auto"/>
        <w:rPr>
          <w:rFonts w:hint="eastAsia" w:ascii="仿宋" w:hAnsi="仿宋" w:eastAsia="仿宋" w:cs="仿宋"/>
          <w:bCs/>
          <w:color w:val="auto"/>
          <w:spacing w:val="8"/>
          <w:sz w:val="30"/>
          <w:szCs w:val="30"/>
        </w:rPr>
      </w:pPr>
      <w:r>
        <w:rPr>
          <w:rFonts w:hint="eastAsia" w:ascii="仿宋" w:hAnsi="仿宋" w:eastAsia="仿宋" w:cs="仿宋"/>
          <w:bCs/>
          <w:color w:val="auto"/>
          <w:spacing w:val="8"/>
          <w:sz w:val="30"/>
          <w:szCs w:val="30"/>
        </w:rPr>
        <w:t>行政事业单位内控自我评价与审计</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firstLine="646" w:firstLineChars="200"/>
        <w:jc w:val="left"/>
        <w:textAlignment w:val="auto"/>
        <w:rPr>
          <w:rFonts w:hint="eastAsia" w:ascii="仿宋" w:hAnsi="仿宋" w:eastAsia="仿宋" w:cs="仿宋"/>
          <w:bCs/>
          <w:color w:val="auto"/>
          <w:spacing w:val="8"/>
          <w:sz w:val="30"/>
          <w:szCs w:val="30"/>
        </w:rPr>
      </w:pPr>
      <w:r>
        <w:rPr>
          <w:rFonts w:hint="eastAsia" w:ascii="仿宋" w:hAnsi="仿宋" w:eastAsia="仿宋" w:cs="仿宋"/>
          <w:bCs/>
          <w:color w:val="auto"/>
          <w:spacing w:val="8"/>
          <w:sz w:val="30"/>
          <w:szCs w:val="30"/>
        </w:rPr>
        <w:t>行政事业单位内部控制信息化建设</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firstLine="646" w:firstLineChars="200"/>
        <w:jc w:val="left"/>
        <w:textAlignment w:val="auto"/>
        <w:rPr>
          <w:rFonts w:hint="eastAsia" w:ascii="仿宋" w:hAnsi="仿宋" w:eastAsia="仿宋" w:cs="仿宋"/>
          <w:b/>
          <w:bCs/>
          <w:sz w:val="30"/>
          <w:szCs w:val="30"/>
        </w:rPr>
      </w:pPr>
      <w:r>
        <w:rPr>
          <w:rFonts w:hint="eastAsia" w:ascii="仿宋" w:hAnsi="仿宋" w:eastAsia="仿宋" w:cs="仿宋"/>
          <w:bCs/>
          <w:color w:val="auto"/>
          <w:spacing w:val="8"/>
          <w:sz w:val="30"/>
          <w:szCs w:val="30"/>
        </w:rPr>
        <w:t>行政事业单位内部控制案例分析</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b/>
          <w:bCs/>
          <w:sz w:val="30"/>
          <w:szCs w:val="30"/>
        </w:rPr>
      </w:pPr>
      <w:r>
        <w:rPr>
          <w:rFonts w:hint="eastAsia" w:ascii="黑体" w:hAnsi="黑体" w:eastAsia="黑体" w:cs="黑体"/>
          <w:b/>
          <w:bCs/>
          <w:sz w:val="30"/>
          <w:szCs w:val="30"/>
        </w:rPr>
        <w:t>专题五：行政事业单位财务人员专业能力提升</w:t>
      </w:r>
    </w:p>
    <w:p>
      <w:pPr>
        <w:keepNext w:val="0"/>
        <w:keepLines w:val="0"/>
        <w:pageBreakBefore w:val="0"/>
        <w:widowControl/>
        <w:numPr>
          <w:ilvl w:val="0"/>
          <w:numId w:val="6"/>
        </w:numPr>
        <w:kinsoku/>
        <w:wordWrap/>
        <w:overflowPunct/>
        <w:topLinePunct w:val="0"/>
        <w:autoSpaceDE/>
        <w:autoSpaceDN/>
        <w:bidi w:val="0"/>
        <w:adjustRightInd/>
        <w:snapToGrid/>
        <w:spacing w:line="560" w:lineRule="exact"/>
        <w:ind w:firstLine="323" w:firstLineChars="100"/>
        <w:jc w:val="left"/>
        <w:textAlignment w:val="auto"/>
        <w:rPr>
          <w:rFonts w:hint="eastAsia" w:ascii="楷体" w:hAnsi="楷体" w:eastAsia="楷体" w:cs="楷体"/>
          <w:b/>
          <w:spacing w:val="8"/>
          <w:sz w:val="30"/>
          <w:szCs w:val="30"/>
        </w:rPr>
      </w:pPr>
      <w:r>
        <w:rPr>
          <w:rFonts w:hint="eastAsia" w:ascii="楷体" w:hAnsi="楷体" w:eastAsia="楷体" w:cs="楷体"/>
          <w:b/>
          <w:spacing w:val="8"/>
          <w:sz w:val="30"/>
          <w:szCs w:val="30"/>
        </w:rPr>
        <w:t>专题介绍：</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6" w:firstLineChars="200"/>
        <w:jc w:val="both"/>
        <w:textAlignment w:val="auto"/>
        <w:rPr>
          <w:rFonts w:hint="eastAsia" w:ascii="仿宋" w:hAnsi="仿宋" w:eastAsia="仿宋" w:cs="仿宋"/>
          <w:bCs/>
          <w:color w:val="auto"/>
          <w:spacing w:val="8"/>
          <w:kern w:val="2"/>
          <w:sz w:val="30"/>
          <w:szCs w:val="30"/>
        </w:rPr>
      </w:pPr>
      <w:r>
        <w:rPr>
          <w:rFonts w:hint="eastAsia" w:ascii="仿宋" w:hAnsi="仿宋" w:eastAsia="仿宋" w:cs="仿宋"/>
          <w:bCs/>
          <w:color w:val="auto"/>
          <w:spacing w:val="8"/>
          <w:kern w:val="2"/>
          <w:sz w:val="30"/>
          <w:szCs w:val="30"/>
        </w:rPr>
        <w:t>本专题培训旨在全面规范和加强行政事业单位的预算和国有资产管理，课程将围绕预算管理、资金使用、资产管理、财务审批等核心业务环节，逐项明确财务管理工作规范要求，强化内部流程控制，实现内部控制规范与财务管理活动的无缝对接，促进资产管理与预算管理、财务管理相结合。</w:t>
      </w:r>
    </w:p>
    <w:p>
      <w:pPr>
        <w:keepNext w:val="0"/>
        <w:keepLines w:val="0"/>
        <w:pageBreakBefore w:val="0"/>
        <w:widowControl/>
        <w:numPr>
          <w:ilvl w:val="0"/>
          <w:numId w:val="6"/>
        </w:numPr>
        <w:kinsoku/>
        <w:wordWrap/>
        <w:overflowPunct/>
        <w:topLinePunct w:val="0"/>
        <w:autoSpaceDE/>
        <w:autoSpaceDN/>
        <w:bidi w:val="0"/>
        <w:adjustRightInd/>
        <w:snapToGrid/>
        <w:spacing w:line="560" w:lineRule="exact"/>
        <w:ind w:firstLine="323" w:firstLineChars="100"/>
        <w:jc w:val="left"/>
        <w:textAlignment w:val="auto"/>
        <w:rPr>
          <w:rFonts w:hint="eastAsia" w:ascii="楷体" w:hAnsi="楷体" w:eastAsia="楷体" w:cs="楷体"/>
          <w:b/>
          <w:spacing w:val="8"/>
          <w:sz w:val="30"/>
          <w:szCs w:val="30"/>
        </w:rPr>
      </w:pPr>
      <w:r>
        <w:rPr>
          <w:rFonts w:hint="eastAsia" w:ascii="楷体" w:hAnsi="楷体" w:eastAsia="楷体" w:cs="楷体"/>
          <w:b/>
          <w:spacing w:val="8"/>
          <w:sz w:val="30"/>
          <w:szCs w:val="30"/>
        </w:rPr>
        <w:t>课程内容：</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firstLine="646" w:firstLineChars="200"/>
        <w:jc w:val="left"/>
        <w:textAlignment w:val="auto"/>
        <w:rPr>
          <w:rFonts w:hint="eastAsia" w:ascii="仿宋" w:hAnsi="仿宋" w:eastAsia="仿宋" w:cs="仿宋"/>
          <w:bCs/>
          <w:color w:val="auto"/>
          <w:spacing w:val="8"/>
          <w:sz w:val="30"/>
          <w:szCs w:val="30"/>
        </w:rPr>
      </w:pPr>
      <w:r>
        <w:rPr>
          <w:rFonts w:hint="eastAsia" w:ascii="仿宋" w:hAnsi="仿宋" w:eastAsia="仿宋" w:cs="仿宋"/>
          <w:bCs/>
          <w:color w:val="auto"/>
          <w:spacing w:val="8"/>
          <w:sz w:val="30"/>
          <w:szCs w:val="30"/>
        </w:rPr>
        <w:t>《中华人民共和国预算法实施条例》解读</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1287" w:leftChars="208" w:hanging="607" w:hangingChars="188"/>
        <w:jc w:val="left"/>
        <w:textAlignment w:val="auto"/>
        <w:rPr>
          <w:rFonts w:hint="eastAsia" w:ascii="仿宋" w:hAnsi="仿宋" w:eastAsia="仿宋" w:cs="仿宋"/>
          <w:bCs/>
          <w:color w:val="auto"/>
          <w:spacing w:val="8"/>
          <w:sz w:val="30"/>
          <w:szCs w:val="30"/>
        </w:rPr>
      </w:pPr>
      <w:r>
        <w:rPr>
          <w:rFonts w:hint="eastAsia" w:ascii="仿宋" w:hAnsi="仿宋" w:eastAsia="仿宋" w:cs="仿宋"/>
          <w:bCs/>
          <w:color w:val="auto"/>
          <w:spacing w:val="8"/>
          <w:sz w:val="30"/>
          <w:szCs w:val="30"/>
        </w:rPr>
        <w:t>《中共中央国务院关于全面实施预算绩效管理的意见》政策解读</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firstLine="646" w:firstLineChars="200"/>
        <w:jc w:val="left"/>
        <w:textAlignment w:val="auto"/>
        <w:rPr>
          <w:rFonts w:hint="eastAsia" w:ascii="仿宋" w:hAnsi="仿宋" w:eastAsia="仿宋" w:cs="仿宋"/>
          <w:bCs/>
          <w:color w:val="auto"/>
          <w:spacing w:val="8"/>
          <w:sz w:val="30"/>
          <w:szCs w:val="30"/>
        </w:rPr>
      </w:pPr>
      <w:r>
        <w:rPr>
          <w:rFonts w:hint="eastAsia" w:ascii="仿宋" w:hAnsi="仿宋" w:eastAsia="仿宋" w:cs="仿宋"/>
          <w:bCs/>
          <w:color w:val="auto"/>
          <w:spacing w:val="8"/>
          <w:sz w:val="30"/>
          <w:szCs w:val="30"/>
        </w:rPr>
        <w:t>《预算管理一体化规范》解读</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firstLine="646" w:firstLineChars="200"/>
        <w:jc w:val="left"/>
        <w:textAlignment w:val="auto"/>
        <w:rPr>
          <w:rFonts w:hint="eastAsia" w:ascii="仿宋" w:hAnsi="仿宋" w:eastAsia="仿宋" w:cs="仿宋"/>
          <w:bCs/>
          <w:color w:val="auto"/>
          <w:spacing w:val="8"/>
          <w:sz w:val="30"/>
          <w:szCs w:val="30"/>
        </w:rPr>
      </w:pPr>
      <w:r>
        <w:rPr>
          <w:rFonts w:hint="eastAsia" w:ascii="仿宋" w:hAnsi="仿宋" w:eastAsia="仿宋" w:cs="仿宋"/>
          <w:bCs/>
          <w:color w:val="auto"/>
          <w:spacing w:val="8"/>
          <w:sz w:val="30"/>
          <w:szCs w:val="30"/>
        </w:rPr>
        <w:t>《预算管理一体化系统技术标准》解读</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firstLine="646" w:firstLineChars="200"/>
        <w:jc w:val="left"/>
        <w:textAlignment w:val="auto"/>
        <w:rPr>
          <w:rFonts w:hint="eastAsia" w:ascii="仿宋" w:hAnsi="仿宋" w:eastAsia="仿宋" w:cs="仿宋"/>
          <w:bCs/>
          <w:color w:val="auto"/>
          <w:spacing w:val="8"/>
          <w:sz w:val="30"/>
          <w:szCs w:val="30"/>
        </w:rPr>
      </w:pPr>
      <w:r>
        <w:rPr>
          <w:rFonts w:hint="eastAsia" w:ascii="仿宋" w:hAnsi="仿宋" w:eastAsia="仿宋" w:cs="仿宋"/>
          <w:bCs/>
          <w:color w:val="auto"/>
          <w:spacing w:val="8"/>
          <w:sz w:val="30"/>
          <w:szCs w:val="30"/>
        </w:rPr>
        <w:t>行政事业单位的绩效管理与绩效评价</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firstLine="646" w:firstLineChars="200"/>
        <w:jc w:val="left"/>
        <w:textAlignment w:val="auto"/>
        <w:rPr>
          <w:rFonts w:hint="eastAsia" w:ascii="仿宋" w:hAnsi="仿宋" w:eastAsia="仿宋" w:cs="仿宋"/>
          <w:bCs/>
          <w:color w:val="auto"/>
          <w:spacing w:val="8"/>
          <w:sz w:val="30"/>
          <w:szCs w:val="30"/>
        </w:rPr>
      </w:pPr>
      <w:r>
        <w:rPr>
          <w:rFonts w:hint="eastAsia" w:ascii="仿宋" w:hAnsi="仿宋" w:eastAsia="仿宋" w:cs="仿宋"/>
          <w:bCs/>
          <w:color w:val="auto"/>
          <w:spacing w:val="8"/>
          <w:sz w:val="30"/>
          <w:szCs w:val="30"/>
        </w:rPr>
        <w:t>行政事业单位资产管理</w:t>
      </w:r>
    </w:p>
    <w:p>
      <w:pPr>
        <w:keepNext w:val="0"/>
        <w:keepLines w:val="0"/>
        <w:pageBreakBefore w:val="0"/>
        <w:widowControl/>
        <w:kinsoku/>
        <w:wordWrap/>
        <w:overflowPunct/>
        <w:topLinePunct w:val="0"/>
        <w:autoSpaceDE/>
        <w:autoSpaceDN/>
        <w:bidi w:val="0"/>
        <w:adjustRightInd/>
        <w:snapToGrid/>
        <w:spacing w:line="560" w:lineRule="exact"/>
        <w:ind w:left="-113"/>
        <w:jc w:val="left"/>
        <w:textAlignment w:val="auto"/>
        <w:rPr>
          <w:rFonts w:hint="eastAsia" w:ascii="黑体" w:hAnsi="黑体" w:eastAsia="黑体" w:cs="黑体"/>
          <w:b/>
          <w:color w:val="auto"/>
          <w:spacing w:val="8"/>
          <w:sz w:val="30"/>
          <w:szCs w:val="30"/>
        </w:rPr>
      </w:pPr>
      <w:r>
        <w:rPr>
          <w:rFonts w:hint="eastAsia" w:ascii="黑体" w:hAnsi="黑体" w:eastAsia="黑体" w:cs="黑体"/>
          <w:b/>
          <w:color w:val="auto"/>
          <w:spacing w:val="8"/>
          <w:sz w:val="30"/>
          <w:szCs w:val="30"/>
        </w:rPr>
        <w:t>专题六：行政事业单位经济责任审计</w:t>
      </w:r>
    </w:p>
    <w:p>
      <w:pPr>
        <w:keepNext w:val="0"/>
        <w:keepLines w:val="0"/>
        <w:pageBreakBefore w:val="0"/>
        <w:widowControl/>
        <w:numPr>
          <w:ilvl w:val="0"/>
          <w:numId w:val="7"/>
        </w:numPr>
        <w:kinsoku/>
        <w:wordWrap/>
        <w:overflowPunct/>
        <w:topLinePunct w:val="0"/>
        <w:autoSpaceDE/>
        <w:autoSpaceDN/>
        <w:bidi w:val="0"/>
        <w:adjustRightInd/>
        <w:snapToGrid/>
        <w:spacing w:line="560" w:lineRule="exact"/>
        <w:ind w:firstLine="323" w:firstLineChars="100"/>
        <w:jc w:val="left"/>
        <w:textAlignment w:val="auto"/>
        <w:rPr>
          <w:rFonts w:hint="eastAsia" w:ascii="楷体" w:hAnsi="楷体" w:eastAsia="楷体" w:cs="楷体"/>
          <w:b/>
          <w:spacing w:val="8"/>
          <w:sz w:val="30"/>
          <w:szCs w:val="30"/>
        </w:rPr>
      </w:pPr>
      <w:r>
        <w:rPr>
          <w:rFonts w:hint="eastAsia" w:ascii="楷体" w:hAnsi="楷体" w:eastAsia="楷体" w:cs="楷体"/>
          <w:b/>
          <w:spacing w:val="8"/>
          <w:sz w:val="30"/>
          <w:szCs w:val="30"/>
        </w:rPr>
        <w:t>专题介绍：</w:t>
      </w:r>
    </w:p>
    <w:p>
      <w:pPr>
        <w:keepNext w:val="0"/>
        <w:keepLines w:val="0"/>
        <w:pageBreakBefore w:val="0"/>
        <w:widowControl/>
        <w:kinsoku/>
        <w:wordWrap/>
        <w:overflowPunct/>
        <w:topLinePunct w:val="0"/>
        <w:autoSpaceDE/>
        <w:autoSpaceDN/>
        <w:bidi w:val="0"/>
        <w:adjustRightInd/>
        <w:snapToGrid/>
        <w:spacing w:line="560" w:lineRule="exact"/>
        <w:ind w:firstLine="646" w:firstLineChars="200"/>
        <w:jc w:val="left"/>
        <w:textAlignment w:val="auto"/>
        <w:rPr>
          <w:rFonts w:hint="eastAsia" w:ascii="仿宋" w:hAnsi="仿宋" w:eastAsia="仿宋" w:cs="仿宋"/>
          <w:bCs/>
          <w:color w:val="auto"/>
          <w:spacing w:val="8"/>
          <w:kern w:val="2"/>
          <w:sz w:val="30"/>
          <w:szCs w:val="30"/>
          <w:lang w:val="en-US" w:eastAsia="zh-CN" w:bidi="ar-SA"/>
        </w:rPr>
      </w:pPr>
      <w:r>
        <w:rPr>
          <w:rFonts w:hint="eastAsia" w:ascii="仿宋" w:hAnsi="仿宋" w:eastAsia="仿宋" w:cs="仿宋"/>
          <w:bCs/>
          <w:color w:val="auto"/>
          <w:spacing w:val="8"/>
          <w:kern w:val="2"/>
          <w:sz w:val="30"/>
          <w:szCs w:val="30"/>
          <w:lang w:val="en-US" w:eastAsia="zh-CN" w:bidi="ar-SA"/>
        </w:rPr>
        <w:t>自中央办公厅、国务院办公厅印发了《党政主要领导干部和国有企事业单位主要领导人员经济责任审计规定》，经济责任审计就成为了行政事业单位内审的主要部分。各级党委和政府要加强对经济责任审计工作的领导，抓好《规定》的学习贯彻。经济责任审计有着本身的固有特性，相比较财务审计，不仅审计对象更加特殊，审计环境也比较复杂。经济新常态下，领导干部经济责任审计面临着新的挑战，需要审计机构在巩固现有成果的同时，做到积极创新，提升经济责任的实施效果，以此保证经济社会健康发展。</w:t>
      </w:r>
    </w:p>
    <w:p>
      <w:pPr>
        <w:keepNext w:val="0"/>
        <w:keepLines w:val="0"/>
        <w:pageBreakBefore w:val="0"/>
        <w:widowControl/>
        <w:numPr>
          <w:ilvl w:val="0"/>
          <w:numId w:val="7"/>
        </w:numPr>
        <w:kinsoku/>
        <w:wordWrap/>
        <w:overflowPunct/>
        <w:topLinePunct w:val="0"/>
        <w:autoSpaceDE/>
        <w:autoSpaceDN/>
        <w:bidi w:val="0"/>
        <w:adjustRightInd/>
        <w:snapToGrid/>
        <w:spacing w:line="560" w:lineRule="exact"/>
        <w:ind w:firstLine="323" w:firstLineChars="100"/>
        <w:jc w:val="left"/>
        <w:textAlignment w:val="auto"/>
        <w:rPr>
          <w:rFonts w:hint="eastAsia" w:ascii="楷体" w:hAnsi="楷体" w:eastAsia="楷体" w:cs="楷体"/>
          <w:b/>
          <w:spacing w:val="8"/>
          <w:sz w:val="30"/>
          <w:szCs w:val="30"/>
        </w:rPr>
      </w:pPr>
      <w:r>
        <w:rPr>
          <w:rFonts w:hint="eastAsia" w:ascii="楷体" w:hAnsi="楷体" w:eastAsia="楷体" w:cs="楷体"/>
          <w:b/>
          <w:spacing w:val="8"/>
          <w:sz w:val="30"/>
          <w:szCs w:val="30"/>
        </w:rPr>
        <w:t>课程内容：</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46" w:firstLineChars="200"/>
        <w:jc w:val="left"/>
        <w:textAlignment w:val="auto"/>
        <w:rPr>
          <w:rFonts w:hint="eastAsia" w:ascii="仿宋" w:hAnsi="仿宋" w:eastAsia="仿宋" w:cs="仿宋"/>
          <w:bCs/>
          <w:color w:val="auto"/>
          <w:spacing w:val="8"/>
          <w:sz w:val="30"/>
          <w:szCs w:val="30"/>
        </w:rPr>
      </w:pPr>
      <w:r>
        <w:rPr>
          <w:rFonts w:hint="eastAsia" w:ascii="仿宋" w:hAnsi="仿宋" w:eastAsia="仿宋" w:cs="仿宋"/>
          <w:bCs/>
          <w:color w:val="auto"/>
          <w:spacing w:val="8"/>
          <w:sz w:val="30"/>
          <w:szCs w:val="30"/>
        </w:rPr>
        <w:t>行政事业单位经济责任审计最新政策法规解读</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46" w:firstLineChars="200"/>
        <w:jc w:val="left"/>
        <w:textAlignment w:val="auto"/>
        <w:rPr>
          <w:rFonts w:hint="eastAsia" w:ascii="仿宋" w:hAnsi="仿宋" w:eastAsia="仿宋" w:cs="仿宋"/>
          <w:bCs/>
          <w:color w:val="auto"/>
          <w:spacing w:val="8"/>
          <w:sz w:val="30"/>
          <w:szCs w:val="30"/>
        </w:rPr>
      </w:pPr>
      <w:r>
        <w:rPr>
          <w:rFonts w:hint="eastAsia" w:ascii="仿宋" w:hAnsi="仿宋" w:eastAsia="仿宋" w:cs="仿宋"/>
          <w:bCs/>
          <w:color w:val="auto"/>
          <w:spacing w:val="8"/>
          <w:sz w:val="30"/>
          <w:szCs w:val="30"/>
        </w:rPr>
        <w:t>经济责任审计的目标与价值</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46" w:firstLineChars="200"/>
        <w:jc w:val="left"/>
        <w:textAlignment w:val="auto"/>
        <w:rPr>
          <w:rFonts w:hint="eastAsia" w:ascii="仿宋" w:hAnsi="仿宋" w:eastAsia="仿宋" w:cs="仿宋"/>
          <w:bCs/>
          <w:color w:val="auto"/>
          <w:spacing w:val="8"/>
          <w:sz w:val="30"/>
          <w:szCs w:val="30"/>
        </w:rPr>
      </w:pPr>
      <w:r>
        <w:rPr>
          <w:rFonts w:hint="eastAsia" w:ascii="仿宋" w:hAnsi="仿宋" w:eastAsia="仿宋" w:cs="仿宋"/>
          <w:bCs/>
          <w:color w:val="auto"/>
          <w:spacing w:val="8"/>
          <w:sz w:val="30"/>
          <w:szCs w:val="30"/>
        </w:rPr>
        <w:t>经济责任审计的思路与方法</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46" w:firstLineChars="200"/>
        <w:jc w:val="left"/>
        <w:textAlignment w:val="auto"/>
        <w:rPr>
          <w:rFonts w:hint="eastAsia" w:ascii="仿宋" w:hAnsi="仿宋" w:eastAsia="仿宋" w:cs="仿宋"/>
          <w:bCs/>
          <w:color w:val="auto"/>
          <w:spacing w:val="8"/>
          <w:sz w:val="30"/>
          <w:szCs w:val="30"/>
        </w:rPr>
      </w:pPr>
      <w:r>
        <w:rPr>
          <w:rFonts w:hint="eastAsia" w:ascii="仿宋" w:hAnsi="仿宋" w:eastAsia="仿宋" w:cs="仿宋"/>
          <w:bCs/>
          <w:color w:val="auto"/>
          <w:spacing w:val="8"/>
          <w:sz w:val="30"/>
          <w:szCs w:val="30"/>
        </w:rPr>
        <w:t>行政事业单位经济责任审计面临的难点和问题</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46" w:firstLineChars="200"/>
        <w:jc w:val="left"/>
        <w:textAlignment w:val="auto"/>
        <w:rPr>
          <w:rFonts w:hint="eastAsia" w:ascii="仿宋" w:hAnsi="仿宋" w:eastAsia="仿宋" w:cs="仿宋"/>
          <w:bCs/>
          <w:color w:val="auto"/>
          <w:spacing w:val="8"/>
          <w:sz w:val="30"/>
          <w:szCs w:val="30"/>
        </w:rPr>
      </w:pPr>
      <w:r>
        <w:rPr>
          <w:rFonts w:hint="eastAsia" w:ascii="仿宋" w:hAnsi="仿宋" w:eastAsia="仿宋" w:cs="仿宋"/>
          <w:bCs/>
          <w:color w:val="auto"/>
          <w:spacing w:val="8"/>
          <w:sz w:val="30"/>
          <w:szCs w:val="30"/>
        </w:rPr>
        <w:t>行政事业单位经济责任审计解决途径</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b/>
          <w:bCs/>
          <w:sz w:val="30"/>
          <w:szCs w:val="30"/>
        </w:rPr>
      </w:pPr>
      <w:r>
        <w:rPr>
          <w:rFonts w:hint="eastAsia" w:ascii="黑体" w:hAnsi="黑体" w:eastAsia="黑体" w:cs="黑体"/>
          <w:b/>
          <w:bCs/>
          <w:sz w:val="30"/>
          <w:szCs w:val="30"/>
        </w:rPr>
        <w:t>专题七：行政事业单位资产管理</w:t>
      </w:r>
    </w:p>
    <w:p>
      <w:pPr>
        <w:keepNext w:val="0"/>
        <w:keepLines w:val="0"/>
        <w:pageBreakBefore w:val="0"/>
        <w:widowControl/>
        <w:numPr>
          <w:ilvl w:val="0"/>
          <w:numId w:val="9"/>
        </w:numPr>
        <w:kinsoku/>
        <w:wordWrap/>
        <w:overflowPunct/>
        <w:topLinePunct w:val="0"/>
        <w:autoSpaceDE/>
        <w:autoSpaceDN/>
        <w:bidi w:val="0"/>
        <w:adjustRightInd/>
        <w:snapToGrid/>
        <w:spacing w:line="560" w:lineRule="exact"/>
        <w:ind w:firstLine="323" w:firstLineChars="100"/>
        <w:jc w:val="left"/>
        <w:textAlignment w:val="auto"/>
        <w:rPr>
          <w:rFonts w:hint="eastAsia" w:ascii="楷体" w:hAnsi="楷体" w:eastAsia="楷体" w:cs="楷体"/>
          <w:b/>
          <w:spacing w:val="8"/>
          <w:sz w:val="30"/>
          <w:szCs w:val="30"/>
        </w:rPr>
      </w:pPr>
      <w:r>
        <w:rPr>
          <w:rFonts w:hint="eastAsia" w:ascii="楷体" w:hAnsi="楷体" w:eastAsia="楷体" w:cs="楷体"/>
          <w:b/>
          <w:spacing w:val="8"/>
          <w:sz w:val="30"/>
          <w:szCs w:val="30"/>
        </w:rPr>
        <w:t>专题介绍：</w:t>
      </w:r>
    </w:p>
    <w:p>
      <w:pPr>
        <w:keepNext w:val="0"/>
        <w:keepLines w:val="0"/>
        <w:pageBreakBefore w:val="0"/>
        <w:widowControl/>
        <w:kinsoku/>
        <w:wordWrap/>
        <w:overflowPunct/>
        <w:topLinePunct w:val="0"/>
        <w:autoSpaceDE/>
        <w:autoSpaceDN/>
        <w:bidi w:val="0"/>
        <w:adjustRightInd/>
        <w:snapToGrid/>
        <w:spacing w:line="560" w:lineRule="exact"/>
        <w:ind w:firstLine="624"/>
        <w:jc w:val="left"/>
        <w:textAlignment w:val="auto"/>
        <w:rPr>
          <w:rFonts w:hint="eastAsia" w:ascii="仿宋" w:hAnsi="仿宋" w:eastAsia="仿宋" w:cs="仿宋"/>
          <w:bCs/>
          <w:color w:val="auto"/>
          <w:spacing w:val="8"/>
          <w:sz w:val="30"/>
          <w:szCs w:val="30"/>
        </w:rPr>
      </w:pPr>
      <w:r>
        <w:rPr>
          <w:rFonts w:hint="eastAsia" w:ascii="仿宋" w:hAnsi="仿宋" w:eastAsia="仿宋" w:cs="仿宋"/>
          <w:bCs/>
          <w:color w:val="auto"/>
          <w:spacing w:val="8"/>
          <w:sz w:val="30"/>
          <w:szCs w:val="30"/>
        </w:rPr>
        <w:t>本专题培训旨在全面规范和加强行政事业单位国有资产和财务管理工作，课程将深入剖析单位资产、财务管理的现状和问题，在此基础上，以“制度+案例”的形式，深度解读行政事业单位国有资产管理政策，并结合单位内部控制规范，全面梳理单位内部资产管理与财务管理流程，通过信息化案例教学，引导单位探索开展业财融合信息化工作，进一步提升行政事业单位资产和财务管理水平。</w:t>
      </w:r>
    </w:p>
    <w:p>
      <w:pPr>
        <w:keepNext w:val="0"/>
        <w:keepLines w:val="0"/>
        <w:pageBreakBefore w:val="0"/>
        <w:widowControl/>
        <w:numPr>
          <w:ilvl w:val="0"/>
          <w:numId w:val="9"/>
        </w:numPr>
        <w:kinsoku/>
        <w:wordWrap/>
        <w:overflowPunct/>
        <w:topLinePunct w:val="0"/>
        <w:autoSpaceDE/>
        <w:autoSpaceDN/>
        <w:bidi w:val="0"/>
        <w:adjustRightInd/>
        <w:snapToGrid/>
        <w:spacing w:line="560" w:lineRule="exact"/>
        <w:ind w:firstLine="323" w:firstLineChars="100"/>
        <w:jc w:val="left"/>
        <w:textAlignment w:val="auto"/>
        <w:rPr>
          <w:rFonts w:hint="eastAsia" w:ascii="楷体" w:hAnsi="楷体" w:eastAsia="楷体" w:cs="楷体"/>
          <w:b/>
          <w:spacing w:val="8"/>
          <w:sz w:val="30"/>
          <w:szCs w:val="30"/>
        </w:rPr>
      </w:pPr>
      <w:r>
        <w:rPr>
          <w:rFonts w:hint="eastAsia" w:ascii="楷体" w:hAnsi="楷体" w:eastAsia="楷体" w:cs="楷体"/>
          <w:b/>
          <w:spacing w:val="8"/>
          <w:sz w:val="30"/>
          <w:szCs w:val="30"/>
        </w:rPr>
        <w:t>课程内容：</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46" w:firstLineChars="200"/>
        <w:jc w:val="left"/>
        <w:textAlignment w:val="auto"/>
        <w:rPr>
          <w:rFonts w:hint="eastAsia" w:ascii="仿宋" w:hAnsi="仿宋" w:eastAsia="仿宋" w:cs="仿宋"/>
          <w:bCs/>
          <w:color w:val="auto"/>
          <w:spacing w:val="8"/>
          <w:sz w:val="30"/>
          <w:szCs w:val="30"/>
        </w:rPr>
      </w:pPr>
      <w:r>
        <w:rPr>
          <w:rFonts w:hint="eastAsia" w:ascii="仿宋" w:hAnsi="仿宋" w:eastAsia="仿宋" w:cs="仿宋"/>
          <w:bCs/>
          <w:color w:val="auto"/>
          <w:spacing w:val="8"/>
          <w:sz w:val="30"/>
          <w:szCs w:val="30"/>
          <w:lang w:eastAsia="zh-CN"/>
        </w:rPr>
        <w:t>《行政事业性国有资产管理条例》解读</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46" w:firstLineChars="200"/>
        <w:jc w:val="left"/>
        <w:textAlignment w:val="auto"/>
        <w:rPr>
          <w:rFonts w:hint="eastAsia" w:ascii="仿宋" w:hAnsi="仿宋" w:eastAsia="仿宋" w:cs="仿宋"/>
          <w:bCs/>
          <w:color w:val="auto"/>
          <w:spacing w:val="8"/>
          <w:sz w:val="30"/>
          <w:szCs w:val="30"/>
        </w:rPr>
      </w:pPr>
      <w:r>
        <w:rPr>
          <w:rFonts w:hint="eastAsia" w:ascii="仿宋" w:hAnsi="仿宋" w:eastAsia="仿宋" w:cs="仿宋"/>
          <w:bCs/>
          <w:color w:val="auto"/>
          <w:spacing w:val="8"/>
          <w:sz w:val="30"/>
          <w:szCs w:val="30"/>
        </w:rPr>
        <w:t>行政事业单位国有资产管理政策与实务</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46" w:firstLineChars="200"/>
        <w:jc w:val="left"/>
        <w:textAlignment w:val="auto"/>
        <w:rPr>
          <w:rFonts w:hint="eastAsia" w:ascii="仿宋" w:hAnsi="仿宋" w:eastAsia="仿宋" w:cs="仿宋"/>
          <w:bCs/>
          <w:color w:val="auto"/>
          <w:spacing w:val="8"/>
          <w:sz w:val="30"/>
          <w:szCs w:val="30"/>
        </w:rPr>
      </w:pPr>
      <w:r>
        <w:rPr>
          <w:rFonts w:hint="eastAsia" w:ascii="仿宋" w:hAnsi="仿宋" w:eastAsia="仿宋" w:cs="仿宋"/>
          <w:bCs/>
          <w:color w:val="auto"/>
          <w:spacing w:val="8"/>
          <w:sz w:val="30"/>
          <w:szCs w:val="30"/>
        </w:rPr>
        <w:t>行政事业单位国有资产管理政策体系</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1276" w:leftChars="209" w:hanging="593" w:hangingChars="184"/>
        <w:jc w:val="left"/>
        <w:textAlignment w:val="auto"/>
        <w:rPr>
          <w:rFonts w:hint="eastAsia" w:ascii="仿宋" w:hAnsi="仿宋" w:eastAsia="仿宋" w:cs="仿宋"/>
          <w:bCs/>
          <w:color w:val="auto"/>
          <w:spacing w:val="8"/>
          <w:sz w:val="30"/>
          <w:szCs w:val="30"/>
        </w:rPr>
      </w:pPr>
      <w:r>
        <w:rPr>
          <w:rFonts w:hint="eastAsia" w:ascii="仿宋" w:hAnsi="仿宋" w:eastAsia="仿宋" w:cs="仿宋"/>
          <w:bCs/>
          <w:color w:val="auto"/>
          <w:spacing w:val="8"/>
          <w:sz w:val="30"/>
          <w:szCs w:val="30"/>
        </w:rPr>
        <w:t>行政事业单位国有资产配置管理、使用管理、处置管理、清查核实、产权登记、评估管理、监督管理、报告管理讲解</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46" w:firstLineChars="200"/>
        <w:jc w:val="left"/>
        <w:textAlignment w:val="auto"/>
        <w:rPr>
          <w:rFonts w:hint="eastAsia" w:ascii="仿宋" w:hAnsi="仿宋" w:eastAsia="仿宋" w:cs="仿宋"/>
          <w:bCs/>
          <w:color w:val="auto"/>
          <w:spacing w:val="8"/>
          <w:sz w:val="30"/>
          <w:szCs w:val="30"/>
        </w:rPr>
      </w:pPr>
      <w:r>
        <w:rPr>
          <w:rFonts w:hint="eastAsia" w:ascii="仿宋" w:hAnsi="仿宋" w:eastAsia="仿宋" w:cs="仿宋"/>
          <w:bCs/>
          <w:color w:val="auto"/>
          <w:spacing w:val="8"/>
          <w:sz w:val="30"/>
          <w:szCs w:val="30"/>
        </w:rPr>
        <w:t>行政事业单位国有资产信息化案例</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b/>
          <w:bCs/>
          <w:sz w:val="30"/>
          <w:szCs w:val="30"/>
        </w:rPr>
      </w:pPr>
      <w:r>
        <w:rPr>
          <w:rFonts w:hint="eastAsia" w:ascii="黑体" w:hAnsi="黑体" w:eastAsia="黑体" w:cs="黑体"/>
          <w:b/>
          <w:bCs/>
          <w:sz w:val="30"/>
          <w:szCs w:val="30"/>
        </w:rPr>
        <w:t>专题八：政府财务报告编制与分析</w:t>
      </w:r>
    </w:p>
    <w:p>
      <w:pPr>
        <w:keepNext w:val="0"/>
        <w:keepLines w:val="0"/>
        <w:pageBreakBefore w:val="0"/>
        <w:widowControl/>
        <w:numPr>
          <w:ilvl w:val="0"/>
          <w:numId w:val="10"/>
        </w:numPr>
        <w:kinsoku/>
        <w:wordWrap/>
        <w:overflowPunct/>
        <w:topLinePunct w:val="0"/>
        <w:autoSpaceDE/>
        <w:autoSpaceDN/>
        <w:bidi w:val="0"/>
        <w:adjustRightInd/>
        <w:snapToGrid/>
        <w:spacing w:line="560" w:lineRule="exact"/>
        <w:ind w:firstLine="323" w:firstLineChars="100"/>
        <w:jc w:val="left"/>
        <w:textAlignment w:val="auto"/>
        <w:rPr>
          <w:rFonts w:hint="eastAsia" w:ascii="楷体" w:hAnsi="楷体" w:eastAsia="楷体" w:cs="楷体"/>
          <w:b/>
          <w:spacing w:val="8"/>
          <w:sz w:val="30"/>
          <w:szCs w:val="30"/>
        </w:rPr>
      </w:pPr>
      <w:r>
        <w:rPr>
          <w:rFonts w:hint="eastAsia" w:ascii="楷体" w:hAnsi="楷体" w:eastAsia="楷体" w:cs="楷体"/>
          <w:b/>
          <w:spacing w:val="8"/>
          <w:sz w:val="30"/>
          <w:szCs w:val="30"/>
        </w:rPr>
        <w:t>专题介绍：</w:t>
      </w:r>
    </w:p>
    <w:p>
      <w:pPr>
        <w:keepNext w:val="0"/>
        <w:keepLines w:val="0"/>
        <w:pageBreakBefore w:val="0"/>
        <w:widowControl/>
        <w:kinsoku/>
        <w:wordWrap/>
        <w:overflowPunct/>
        <w:topLinePunct w:val="0"/>
        <w:autoSpaceDE/>
        <w:autoSpaceDN/>
        <w:bidi w:val="0"/>
        <w:adjustRightInd/>
        <w:snapToGrid/>
        <w:spacing w:line="560" w:lineRule="exact"/>
        <w:ind w:firstLine="646" w:firstLineChars="200"/>
        <w:jc w:val="left"/>
        <w:textAlignment w:val="auto"/>
        <w:rPr>
          <w:rFonts w:hint="eastAsia" w:ascii="仿宋" w:hAnsi="仿宋" w:eastAsia="仿宋" w:cs="仿宋"/>
          <w:bCs/>
          <w:color w:val="auto"/>
          <w:spacing w:val="8"/>
          <w:sz w:val="30"/>
          <w:szCs w:val="30"/>
        </w:rPr>
      </w:pPr>
      <w:r>
        <w:rPr>
          <w:rFonts w:hint="eastAsia" w:ascii="仿宋" w:hAnsi="仿宋" w:eastAsia="仿宋" w:cs="仿宋"/>
          <w:bCs/>
          <w:color w:val="auto"/>
          <w:spacing w:val="8"/>
          <w:sz w:val="30"/>
          <w:szCs w:val="30"/>
        </w:rPr>
        <w:t>为加快推进权责发生制政府综合财务报告制度改革，根据《中华人民共和国预算法》、《国务院关于批转财政部权责发生制政府综合财务报告制度改革方案的通知》（国发〔2014〕63号）、《财政部关于修订印发〈政府财务报告编制办法（试行）〉的通知》（财库〔2019〕56号）、《财政部关于修订印发〈政府部门财务报告编制操作指南（试行）〉的通知》（财库〔2019〕57号）、《财政部关于修订印发〈政府综合财务报告编制操作指南（试行）〉的通知》（财库〔2019〕58号）、《预算管理一体化规范（试行）》（财办〔2020〕13号）等有关规定，推出“政府财务报告编制与分析”课题。</w:t>
      </w:r>
    </w:p>
    <w:p>
      <w:pPr>
        <w:keepNext w:val="0"/>
        <w:keepLines w:val="0"/>
        <w:pageBreakBefore w:val="0"/>
        <w:widowControl/>
        <w:numPr>
          <w:ilvl w:val="0"/>
          <w:numId w:val="10"/>
        </w:numPr>
        <w:kinsoku/>
        <w:wordWrap/>
        <w:overflowPunct/>
        <w:topLinePunct w:val="0"/>
        <w:autoSpaceDE/>
        <w:autoSpaceDN/>
        <w:bidi w:val="0"/>
        <w:adjustRightInd/>
        <w:snapToGrid/>
        <w:spacing w:line="560" w:lineRule="exact"/>
        <w:ind w:firstLine="323" w:firstLineChars="100"/>
        <w:jc w:val="left"/>
        <w:textAlignment w:val="auto"/>
        <w:rPr>
          <w:rFonts w:hint="eastAsia" w:ascii="楷体" w:hAnsi="楷体" w:eastAsia="楷体" w:cs="楷体"/>
          <w:b/>
          <w:spacing w:val="8"/>
          <w:sz w:val="30"/>
          <w:szCs w:val="30"/>
        </w:rPr>
      </w:pPr>
      <w:r>
        <w:rPr>
          <w:rFonts w:hint="eastAsia" w:ascii="楷体" w:hAnsi="楷体" w:eastAsia="楷体" w:cs="楷体"/>
          <w:b/>
          <w:spacing w:val="8"/>
          <w:sz w:val="30"/>
          <w:szCs w:val="30"/>
        </w:rPr>
        <w:t>课程内容：</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46" w:firstLineChars="200"/>
        <w:jc w:val="left"/>
        <w:textAlignment w:val="auto"/>
        <w:rPr>
          <w:rFonts w:hint="eastAsia" w:ascii="仿宋" w:hAnsi="仿宋" w:eastAsia="仿宋" w:cs="仿宋"/>
          <w:bCs/>
          <w:color w:val="auto"/>
          <w:spacing w:val="8"/>
          <w:sz w:val="30"/>
          <w:szCs w:val="30"/>
        </w:rPr>
      </w:pPr>
      <w:r>
        <w:rPr>
          <w:rFonts w:hint="eastAsia" w:ascii="仿宋" w:hAnsi="仿宋" w:eastAsia="仿宋" w:cs="仿宋"/>
          <w:bCs/>
          <w:color w:val="auto"/>
          <w:spacing w:val="8"/>
          <w:sz w:val="30"/>
          <w:szCs w:val="30"/>
        </w:rPr>
        <w:t>政府部门财务报告主要内容</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46" w:firstLineChars="200"/>
        <w:jc w:val="left"/>
        <w:textAlignment w:val="auto"/>
        <w:rPr>
          <w:rFonts w:hint="eastAsia" w:ascii="仿宋" w:hAnsi="仿宋" w:eastAsia="仿宋" w:cs="仿宋"/>
          <w:bCs/>
          <w:color w:val="auto"/>
          <w:spacing w:val="8"/>
          <w:sz w:val="30"/>
          <w:szCs w:val="30"/>
        </w:rPr>
      </w:pPr>
      <w:r>
        <w:rPr>
          <w:rFonts w:hint="eastAsia" w:ascii="仿宋" w:hAnsi="仿宋" w:eastAsia="仿宋" w:cs="仿宋"/>
          <w:bCs/>
          <w:color w:val="auto"/>
          <w:spacing w:val="8"/>
          <w:sz w:val="30"/>
          <w:szCs w:val="30"/>
        </w:rPr>
        <w:t>政府财务报告编制</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46" w:firstLineChars="200"/>
        <w:jc w:val="left"/>
        <w:textAlignment w:val="auto"/>
        <w:rPr>
          <w:rFonts w:hint="eastAsia" w:ascii="仿宋" w:hAnsi="仿宋" w:eastAsia="仿宋" w:cs="仿宋"/>
          <w:bCs/>
          <w:color w:val="auto"/>
          <w:spacing w:val="8"/>
          <w:sz w:val="30"/>
          <w:szCs w:val="30"/>
        </w:rPr>
      </w:pPr>
      <w:r>
        <w:rPr>
          <w:rFonts w:hint="eastAsia" w:ascii="仿宋" w:hAnsi="仿宋" w:eastAsia="仿宋" w:cs="仿宋"/>
          <w:bCs/>
          <w:color w:val="auto"/>
          <w:spacing w:val="8"/>
          <w:sz w:val="30"/>
          <w:szCs w:val="30"/>
        </w:rPr>
        <w:t>政府财务报告数据质量审核</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46" w:firstLineChars="200"/>
        <w:jc w:val="left"/>
        <w:textAlignment w:val="auto"/>
        <w:rPr>
          <w:rFonts w:hint="eastAsia" w:ascii="仿宋" w:hAnsi="仿宋" w:eastAsia="仿宋" w:cs="仿宋"/>
          <w:bCs/>
          <w:color w:val="auto"/>
          <w:spacing w:val="8"/>
          <w:sz w:val="30"/>
          <w:szCs w:val="30"/>
        </w:rPr>
      </w:pPr>
      <w:r>
        <w:rPr>
          <w:rFonts w:hint="eastAsia" w:ascii="仿宋" w:hAnsi="仿宋" w:eastAsia="仿宋" w:cs="仿宋"/>
          <w:bCs/>
          <w:color w:val="auto"/>
          <w:spacing w:val="8"/>
          <w:sz w:val="30"/>
          <w:szCs w:val="30"/>
        </w:rPr>
        <w:t>政府财务报告数据资料管理</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46" w:firstLineChars="200"/>
        <w:jc w:val="left"/>
        <w:textAlignment w:val="auto"/>
        <w:rPr>
          <w:rFonts w:hint="eastAsia" w:ascii="仿宋" w:hAnsi="仿宋" w:eastAsia="仿宋" w:cs="仿宋"/>
          <w:bCs/>
          <w:color w:val="auto"/>
          <w:spacing w:val="8"/>
          <w:sz w:val="30"/>
          <w:szCs w:val="30"/>
        </w:rPr>
      </w:pPr>
      <w:r>
        <w:rPr>
          <w:rFonts w:hint="eastAsia" w:ascii="仿宋" w:hAnsi="仿宋" w:eastAsia="仿宋" w:cs="仿宋"/>
          <w:bCs/>
          <w:color w:val="auto"/>
          <w:spacing w:val="8"/>
          <w:sz w:val="30"/>
          <w:szCs w:val="30"/>
        </w:rPr>
        <w:t>职责分工</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b/>
          <w:bCs/>
          <w:sz w:val="30"/>
          <w:szCs w:val="30"/>
        </w:rPr>
      </w:pPr>
      <w:r>
        <w:rPr>
          <w:rFonts w:hint="eastAsia" w:ascii="黑体" w:hAnsi="黑体" w:eastAsia="黑体" w:cs="黑体"/>
          <w:b/>
          <w:bCs/>
          <w:sz w:val="30"/>
          <w:szCs w:val="30"/>
        </w:rPr>
        <w:t>专题九：财务人员法律素质提升与《民法典》权威解读</w:t>
      </w:r>
    </w:p>
    <w:p>
      <w:pPr>
        <w:keepNext w:val="0"/>
        <w:keepLines w:val="0"/>
        <w:pageBreakBefore w:val="0"/>
        <w:widowControl/>
        <w:numPr>
          <w:ilvl w:val="0"/>
          <w:numId w:val="11"/>
        </w:numPr>
        <w:kinsoku/>
        <w:wordWrap/>
        <w:overflowPunct/>
        <w:topLinePunct w:val="0"/>
        <w:autoSpaceDE/>
        <w:autoSpaceDN/>
        <w:bidi w:val="0"/>
        <w:adjustRightInd/>
        <w:snapToGrid/>
        <w:spacing w:line="560" w:lineRule="exact"/>
        <w:ind w:firstLine="323" w:firstLineChars="100"/>
        <w:jc w:val="left"/>
        <w:textAlignment w:val="auto"/>
        <w:rPr>
          <w:rFonts w:hint="eastAsia" w:ascii="楷体" w:hAnsi="楷体" w:eastAsia="楷体" w:cs="楷体"/>
          <w:b/>
          <w:spacing w:val="8"/>
          <w:sz w:val="30"/>
          <w:szCs w:val="30"/>
        </w:rPr>
      </w:pPr>
      <w:r>
        <w:rPr>
          <w:rFonts w:hint="eastAsia" w:ascii="楷体" w:hAnsi="楷体" w:eastAsia="楷体" w:cs="楷体"/>
          <w:b/>
          <w:spacing w:val="8"/>
          <w:sz w:val="30"/>
          <w:szCs w:val="30"/>
        </w:rPr>
        <w:t>专题介绍：</w:t>
      </w:r>
    </w:p>
    <w:p>
      <w:pPr>
        <w:keepNext w:val="0"/>
        <w:keepLines w:val="0"/>
        <w:pageBreakBefore w:val="0"/>
        <w:widowControl/>
        <w:kinsoku/>
        <w:wordWrap/>
        <w:overflowPunct/>
        <w:topLinePunct w:val="0"/>
        <w:autoSpaceDE/>
        <w:autoSpaceDN/>
        <w:bidi w:val="0"/>
        <w:adjustRightInd/>
        <w:snapToGrid/>
        <w:spacing w:line="560" w:lineRule="exact"/>
        <w:ind w:firstLine="646" w:firstLineChars="200"/>
        <w:jc w:val="left"/>
        <w:textAlignment w:val="auto"/>
        <w:rPr>
          <w:rFonts w:hint="eastAsia" w:ascii="仿宋" w:hAnsi="仿宋" w:eastAsia="仿宋" w:cs="仿宋"/>
          <w:bCs/>
          <w:color w:val="auto"/>
          <w:spacing w:val="8"/>
          <w:sz w:val="30"/>
          <w:szCs w:val="30"/>
          <w:lang w:val="en-US" w:eastAsia="zh-CN"/>
        </w:rPr>
      </w:pPr>
      <w:r>
        <w:rPr>
          <w:rFonts w:hint="eastAsia" w:ascii="仿宋" w:hAnsi="仿宋" w:eastAsia="仿宋" w:cs="仿宋"/>
          <w:bCs/>
          <w:color w:val="auto"/>
          <w:spacing w:val="8"/>
          <w:sz w:val="30"/>
          <w:szCs w:val="30"/>
        </w:rPr>
        <w:t>为便于</w:t>
      </w:r>
      <w:r>
        <w:rPr>
          <w:rFonts w:hint="eastAsia" w:ascii="仿宋" w:hAnsi="仿宋" w:eastAsia="仿宋" w:cs="仿宋"/>
          <w:bCs/>
          <w:color w:val="auto"/>
          <w:spacing w:val="8"/>
          <w:sz w:val="30"/>
          <w:szCs w:val="30"/>
          <w:lang w:val="en-US" w:eastAsia="zh-CN"/>
        </w:rPr>
        <w:t>行政事业单位财务与管理人员</w:t>
      </w:r>
      <w:r>
        <w:rPr>
          <w:rFonts w:hint="eastAsia" w:ascii="仿宋" w:hAnsi="仿宋" w:eastAsia="仿宋" w:cs="仿宋"/>
          <w:bCs/>
          <w:color w:val="auto"/>
          <w:spacing w:val="8"/>
          <w:sz w:val="30"/>
          <w:szCs w:val="30"/>
        </w:rPr>
        <w:t>更好地了解民法典编篡的背景、意义以及正确理解,深入解读《民法典》对民事法律行为的构成事件、行为主体要求及法律责任,掌握《民法典》的内容、框架、结构, 准确理解《中华人民共和国民法典》精神，加强对民法典学习和探讨</w:t>
      </w:r>
      <w:r>
        <w:rPr>
          <w:rFonts w:hint="eastAsia" w:ascii="仿宋" w:hAnsi="仿宋" w:eastAsia="仿宋" w:cs="仿宋"/>
          <w:bCs/>
          <w:color w:val="auto"/>
          <w:spacing w:val="8"/>
          <w:sz w:val="30"/>
          <w:szCs w:val="30"/>
          <w:lang w:eastAsia="zh-CN"/>
        </w:rPr>
        <w:t>，</w:t>
      </w:r>
      <w:r>
        <w:rPr>
          <w:rFonts w:hint="eastAsia" w:ascii="仿宋" w:hAnsi="仿宋" w:eastAsia="仿宋" w:cs="仿宋"/>
          <w:bCs/>
          <w:color w:val="auto"/>
          <w:spacing w:val="8"/>
          <w:sz w:val="30"/>
          <w:szCs w:val="30"/>
          <w:lang w:val="en-US" w:eastAsia="zh-CN"/>
        </w:rPr>
        <w:t>特进行此专题解析。</w:t>
      </w:r>
    </w:p>
    <w:p>
      <w:pPr>
        <w:keepNext w:val="0"/>
        <w:keepLines w:val="0"/>
        <w:pageBreakBefore w:val="0"/>
        <w:widowControl/>
        <w:numPr>
          <w:ilvl w:val="0"/>
          <w:numId w:val="11"/>
        </w:numPr>
        <w:kinsoku/>
        <w:wordWrap/>
        <w:overflowPunct/>
        <w:topLinePunct w:val="0"/>
        <w:autoSpaceDE/>
        <w:autoSpaceDN/>
        <w:bidi w:val="0"/>
        <w:adjustRightInd/>
        <w:snapToGrid/>
        <w:spacing w:line="560" w:lineRule="exact"/>
        <w:ind w:firstLine="323" w:firstLineChars="100"/>
        <w:jc w:val="left"/>
        <w:textAlignment w:val="auto"/>
        <w:rPr>
          <w:rFonts w:hint="eastAsia" w:ascii="楷体" w:hAnsi="楷体" w:eastAsia="楷体" w:cs="楷体"/>
          <w:b/>
          <w:spacing w:val="8"/>
          <w:sz w:val="30"/>
          <w:szCs w:val="30"/>
        </w:rPr>
      </w:pPr>
      <w:r>
        <w:rPr>
          <w:rFonts w:hint="eastAsia" w:ascii="楷体" w:hAnsi="楷体" w:eastAsia="楷体" w:cs="楷体"/>
          <w:b/>
          <w:spacing w:val="8"/>
          <w:sz w:val="30"/>
          <w:szCs w:val="30"/>
        </w:rPr>
        <w:t>课程内容：</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Fonts w:hint="eastAsia" w:ascii="仿宋" w:hAnsi="仿宋" w:eastAsia="仿宋" w:cs="仿宋"/>
          <w:bCs/>
          <w:color w:val="auto"/>
          <w:kern w:val="0"/>
          <w:sz w:val="30"/>
          <w:szCs w:val="30"/>
        </w:rPr>
      </w:pPr>
      <w:r>
        <w:rPr>
          <w:rFonts w:hint="eastAsia" w:ascii="仿宋" w:hAnsi="仿宋" w:eastAsia="仿宋" w:cs="仿宋"/>
          <w:bCs/>
          <w:color w:val="auto"/>
          <w:kern w:val="0"/>
          <w:sz w:val="30"/>
          <w:szCs w:val="30"/>
        </w:rPr>
        <w:t>民法典的概述、制定及重要意义</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Fonts w:hint="eastAsia" w:ascii="仿宋" w:hAnsi="仿宋" w:eastAsia="仿宋" w:cs="仿宋"/>
          <w:bCs/>
          <w:color w:val="auto"/>
          <w:kern w:val="0"/>
          <w:sz w:val="30"/>
          <w:szCs w:val="30"/>
        </w:rPr>
      </w:pPr>
      <w:r>
        <w:rPr>
          <w:rFonts w:hint="eastAsia" w:ascii="仿宋" w:hAnsi="仿宋" w:eastAsia="仿宋" w:cs="仿宋"/>
          <w:bCs/>
          <w:color w:val="auto"/>
          <w:kern w:val="0"/>
          <w:sz w:val="30"/>
          <w:szCs w:val="30"/>
        </w:rPr>
        <w:t>民法典基本规定权威解读</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Fonts w:hint="eastAsia" w:ascii="仿宋" w:hAnsi="仿宋" w:eastAsia="仿宋" w:cs="仿宋"/>
          <w:bCs/>
          <w:color w:val="auto"/>
          <w:kern w:val="0"/>
          <w:sz w:val="30"/>
          <w:szCs w:val="30"/>
        </w:rPr>
      </w:pPr>
      <w:r>
        <w:rPr>
          <w:rFonts w:hint="eastAsia" w:ascii="仿宋" w:hAnsi="仿宋" w:eastAsia="仿宋" w:cs="仿宋"/>
          <w:bCs/>
          <w:color w:val="auto"/>
          <w:kern w:val="0"/>
          <w:sz w:val="30"/>
          <w:szCs w:val="30"/>
        </w:rPr>
        <w:t>重点与法律关系及特点</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Fonts w:hint="eastAsia" w:ascii="仿宋" w:hAnsi="仿宋" w:eastAsia="仿宋" w:cs="仿宋"/>
          <w:bCs/>
          <w:color w:val="auto"/>
          <w:kern w:val="0"/>
          <w:sz w:val="30"/>
          <w:szCs w:val="30"/>
        </w:rPr>
      </w:pPr>
      <w:r>
        <w:rPr>
          <w:rFonts w:hint="eastAsia" w:ascii="仿宋" w:hAnsi="仿宋" w:eastAsia="仿宋" w:cs="仿宋"/>
          <w:bCs/>
          <w:color w:val="auto"/>
          <w:kern w:val="0"/>
          <w:sz w:val="30"/>
          <w:szCs w:val="30"/>
        </w:rPr>
        <w:t>民法典的构成要件、行为主体及责任方式</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Fonts w:hint="eastAsia" w:ascii="仿宋" w:hAnsi="仿宋" w:eastAsia="仿宋" w:cs="仿宋"/>
          <w:bCs/>
          <w:color w:val="auto"/>
          <w:kern w:val="0"/>
          <w:sz w:val="30"/>
          <w:szCs w:val="30"/>
        </w:rPr>
      </w:pPr>
      <w:r>
        <w:rPr>
          <w:rFonts w:hint="eastAsia" w:ascii="仿宋" w:hAnsi="仿宋" w:eastAsia="仿宋" w:cs="仿宋"/>
          <w:bCs/>
          <w:color w:val="auto"/>
          <w:kern w:val="0"/>
          <w:sz w:val="30"/>
          <w:szCs w:val="30"/>
        </w:rPr>
        <w:t>民法典调整对象的基本原则及热点难点解析</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Fonts w:hint="eastAsia" w:ascii="仿宋" w:hAnsi="仿宋" w:eastAsia="仿宋" w:cs="仿宋"/>
          <w:bCs/>
          <w:color w:val="auto"/>
          <w:kern w:val="0"/>
          <w:sz w:val="30"/>
          <w:szCs w:val="30"/>
        </w:rPr>
      </w:pPr>
      <w:r>
        <w:rPr>
          <w:rFonts w:hint="eastAsia" w:ascii="仿宋" w:hAnsi="仿宋" w:eastAsia="仿宋" w:cs="仿宋"/>
          <w:bCs/>
          <w:color w:val="auto"/>
          <w:kern w:val="0"/>
          <w:sz w:val="30"/>
          <w:szCs w:val="30"/>
        </w:rPr>
        <w:t xml:space="preserve">精选的民法典案例分析以及实务操作 </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Fonts w:hint="eastAsia" w:ascii="仿宋" w:hAnsi="仿宋" w:eastAsia="仿宋" w:cs="仿宋"/>
          <w:b/>
          <w:color w:val="auto"/>
          <w:spacing w:val="8"/>
          <w:sz w:val="30"/>
          <w:szCs w:val="30"/>
        </w:rPr>
      </w:pPr>
      <w:r>
        <w:rPr>
          <w:rFonts w:hint="eastAsia" w:ascii="仿宋" w:hAnsi="仿宋" w:eastAsia="仿宋" w:cs="仿宋"/>
          <w:bCs/>
          <w:color w:val="auto"/>
          <w:kern w:val="0"/>
          <w:sz w:val="30"/>
          <w:szCs w:val="30"/>
        </w:rPr>
        <w:t>民法典编撰争议问题的类型化分析</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b/>
          <w:bCs/>
          <w:sz w:val="30"/>
          <w:szCs w:val="30"/>
        </w:rPr>
      </w:pPr>
      <w:r>
        <w:rPr>
          <w:rFonts w:hint="eastAsia" w:ascii="黑体" w:hAnsi="黑体" w:eastAsia="黑体" w:cs="黑体"/>
          <w:b/>
          <w:bCs/>
          <w:sz w:val="30"/>
          <w:szCs w:val="30"/>
        </w:rPr>
        <w:t>专题十：政府采购操作规程与风险防范</w:t>
      </w:r>
    </w:p>
    <w:p>
      <w:pPr>
        <w:keepNext w:val="0"/>
        <w:keepLines w:val="0"/>
        <w:pageBreakBefore w:val="0"/>
        <w:widowControl/>
        <w:numPr>
          <w:ilvl w:val="0"/>
          <w:numId w:val="12"/>
        </w:numPr>
        <w:kinsoku/>
        <w:wordWrap/>
        <w:overflowPunct/>
        <w:topLinePunct w:val="0"/>
        <w:autoSpaceDE/>
        <w:autoSpaceDN/>
        <w:bidi w:val="0"/>
        <w:adjustRightInd/>
        <w:snapToGrid/>
        <w:spacing w:line="560" w:lineRule="exact"/>
        <w:ind w:firstLine="323" w:firstLineChars="100"/>
        <w:jc w:val="left"/>
        <w:textAlignment w:val="auto"/>
        <w:rPr>
          <w:rFonts w:hint="eastAsia" w:ascii="楷体" w:hAnsi="楷体" w:eastAsia="楷体" w:cs="楷体"/>
          <w:b/>
          <w:spacing w:val="8"/>
          <w:sz w:val="30"/>
          <w:szCs w:val="30"/>
        </w:rPr>
      </w:pPr>
      <w:r>
        <w:rPr>
          <w:rFonts w:hint="eastAsia" w:ascii="楷体" w:hAnsi="楷体" w:eastAsia="楷体" w:cs="楷体"/>
          <w:b/>
          <w:spacing w:val="8"/>
          <w:sz w:val="30"/>
          <w:szCs w:val="30"/>
        </w:rPr>
        <w:t>专题介绍：</w:t>
      </w:r>
    </w:p>
    <w:p>
      <w:pPr>
        <w:pStyle w:val="30"/>
        <w:keepNext w:val="0"/>
        <w:keepLines w:val="0"/>
        <w:pageBreakBefore w:val="0"/>
        <w:kinsoku/>
        <w:wordWrap/>
        <w:overflowPunct/>
        <w:topLinePunct w:val="0"/>
        <w:autoSpaceDE/>
        <w:autoSpaceDN/>
        <w:bidi w:val="0"/>
        <w:adjustRightInd/>
        <w:snapToGrid/>
        <w:spacing w:line="560" w:lineRule="exact"/>
        <w:ind w:firstLine="592"/>
        <w:textAlignment w:val="auto"/>
        <w:rPr>
          <w:rFonts w:hint="eastAsia" w:ascii="仿宋" w:hAnsi="仿宋" w:eastAsia="仿宋" w:cs="仿宋"/>
          <w:bCs/>
          <w:color w:val="auto"/>
          <w:spacing w:val="8"/>
          <w:sz w:val="30"/>
          <w:szCs w:val="30"/>
        </w:rPr>
      </w:pPr>
      <w:r>
        <w:rPr>
          <w:rFonts w:hint="eastAsia" w:ascii="仿宋" w:hAnsi="仿宋" w:eastAsia="仿宋" w:cs="仿宋"/>
          <w:bCs/>
          <w:color w:val="auto"/>
          <w:spacing w:val="8"/>
          <w:sz w:val="30"/>
          <w:szCs w:val="30"/>
        </w:rPr>
        <w:t>为了贯彻党中央、国务院有关决策部署，推进政府采购制度改革和发展需要，中央深改委审议通过了《深化政府采购制度改革方案》，财政部新颁布了《政府采购货物和服务招标投标管理办法》、《政府采购质疑和投诉办法》和《政府采购公告和公示信息格式规范（2020年版）》，国家发改委也颁布了《必须招标的工程项目规定》（发改委令第16号），对必须招标项目进行重新认定。为了规范政府采购行为，帮助各单位人员深入学习政府采购最新政策，提升业务水平和管理能力，推出“政府采购操作规程与风险防范”课题</w:t>
      </w:r>
    </w:p>
    <w:p>
      <w:pPr>
        <w:keepNext w:val="0"/>
        <w:keepLines w:val="0"/>
        <w:pageBreakBefore w:val="0"/>
        <w:widowControl/>
        <w:numPr>
          <w:ilvl w:val="0"/>
          <w:numId w:val="12"/>
        </w:numPr>
        <w:kinsoku/>
        <w:wordWrap/>
        <w:overflowPunct/>
        <w:topLinePunct w:val="0"/>
        <w:autoSpaceDE/>
        <w:autoSpaceDN/>
        <w:bidi w:val="0"/>
        <w:adjustRightInd/>
        <w:snapToGrid/>
        <w:spacing w:line="560" w:lineRule="exact"/>
        <w:ind w:firstLine="323" w:firstLineChars="100"/>
        <w:jc w:val="left"/>
        <w:textAlignment w:val="auto"/>
        <w:rPr>
          <w:rFonts w:hint="eastAsia" w:ascii="楷体" w:hAnsi="楷体" w:eastAsia="楷体" w:cs="楷体"/>
          <w:b/>
          <w:spacing w:val="8"/>
          <w:sz w:val="30"/>
          <w:szCs w:val="30"/>
        </w:rPr>
      </w:pPr>
      <w:r>
        <w:rPr>
          <w:rFonts w:hint="eastAsia" w:ascii="楷体" w:hAnsi="楷体" w:eastAsia="楷体" w:cs="楷体"/>
          <w:b/>
          <w:spacing w:val="8"/>
          <w:sz w:val="30"/>
          <w:szCs w:val="30"/>
        </w:rPr>
        <w:t>课程内容：</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Fonts w:hint="eastAsia" w:ascii="仿宋" w:hAnsi="仿宋" w:eastAsia="仿宋" w:cs="仿宋"/>
          <w:bCs/>
          <w:color w:val="auto"/>
          <w:kern w:val="0"/>
          <w:sz w:val="30"/>
          <w:szCs w:val="30"/>
        </w:rPr>
      </w:pPr>
      <w:r>
        <w:rPr>
          <w:rFonts w:hint="eastAsia" w:ascii="仿宋" w:hAnsi="仿宋" w:eastAsia="仿宋" w:cs="仿宋"/>
          <w:bCs/>
          <w:color w:val="auto"/>
          <w:kern w:val="0"/>
          <w:sz w:val="30"/>
          <w:szCs w:val="30"/>
          <w:lang w:eastAsia="zh-CN"/>
        </w:rPr>
        <w:t>《深化政府采购制度改革方案》解读</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1276" w:leftChars="209" w:hanging="593" w:hangingChars="184"/>
        <w:jc w:val="left"/>
        <w:textAlignment w:val="auto"/>
        <w:rPr>
          <w:rFonts w:hint="eastAsia" w:ascii="仿宋" w:hAnsi="仿宋" w:eastAsia="仿宋" w:cs="仿宋"/>
          <w:bCs/>
          <w:color w:val="auto"/>
          <w:kern w:val="0"/>
          <w:sz w:val="30"/>
          <w:szCs w:val="30"/>
        </w:rPr>
      </w:pPr>
      <w:r>
        <w:rPr>
          <w:rFonts w:hint="eastAsia" w:ascii="仿宋" w:hAnsi="仿宋" w:eastAsia="仿宋" w:cs="仿宋"/>
          <w:bCs/>
          <w:color w:val="auto"/>
          <w:spacing w:val="8"/>
          <w:sz w:val="30"/>
          <w:szCs w:val="30"/>
        </w:rPr>
        <w:t>《政府采购公告和公示信息格式规范（2020年版）》条文解读</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Fonts w:hint="eastAsia" w:ascii="仿宋" w:hAnsi="仿宋" w:eastAsia="仿宋" w:cs="仿宋"/>
          <w:bCs/>
          <w:color w:val="auto"/>
          <w:kern w:val="0"/>
          <w:sz w:val="30"/>
          <w:szCs w:val="30"/>
        </w:rPr>
      </w:pPr>
      <w:r>
        <w:rPr>
          <w:rFonts w:hint="eastAsia" w:ascii="仿宋" w:hAnsi="仿宋" w:eastAsia="仿宋" w:cs="仿宋"/>
          <w:bCs/>
          <w:color w:val="auto"/>
          <w:kern w:val="0"/>
          <w:sz w:val="30"/>
          <w:szCs w:val="30"/>
        </w:rPr>
        <w:t>《政府采购货物与服务招标投标管理办法》条文解读</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Fonts w:hint="eastAsia" w:ascii="仿宋" w:hAnsi="仿宋" w:eastAsia="仿宋" w:cs="仿宋"/>
          <w:bCs/>
          <w:color w:val="auto"/>
          <w:kern w:val="0"/>
          <w:sz w:val="30"/>
          <w:szCs w:val="30"/>
        </w:rPr>
      </w:pPr>
      <w:r>
        <w:rPr>
          <w:rFonts w:hint="eastAsia" w:ascii="仿宋" w:hAnsi="仿宋" w:eastAsia="仿宋" w:cs="仿宋"/>
          <w:bCs/>
          <w:color w:val="auto"/>
          <w:kern w:val="0"/>
          <w:sz w:val="30"/>
          <w:szCs w:val="30"/>
          <w:lang w:eastAsia="zh-CN"/>
        </w:rPr>
        <w:t>《政府采购需求管理办法》解读</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Fonts w:hint="eastAsia" w:ascii="仿宋" w:hAnsi="仿宋" w:eastAsia="仿宋" w:cs="仿宋"/>
          <w:bCs/>
          <w:color w:val="auto"/>
          <w:kern w:val="0"/>
          <w:sz w:val="30"/>
          <w:szCs w:val="30"/>
        </w:rPr>
      </w:pPr>
      <w:r>
        <w:rPr>
          <w:rFonts w:hint="eastAsia" w:ascii="仿宋" w:hAnsi="仿宋" w:eastAsia="仿宋" w:cs="仿宋"/>
          <w:bCs/>
          <w:color w:val="auto"/>
          <w:kern w:val="0"/>
          <w:sz w:val="30"/>
          <w:szCs w:val="30"/>
        </w:rPr>
        <w:t>政府招标采购过程与重点方式</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Fonts w:hint="eastAsia" w:ascii="仿宋" w:hAnsi="仿宋" w:eastAsia="仿宋" w:cs="仿宋"/>
          <w:bCs/>
          <w:color w:val="auto"/>
          <w:kern w:val="0"/>
          <w:sz w:val="30"/>
          <w:szCs w:val="30"/>
        </w:rPr>
      </w:pPr>
      <w:r>
        <w:rPr>
          <w:rFonts w:hint="eastAsia" w:ascii="仿宋" w:hAnsi="仿宋" w:eastAsia="仿宋" w:cs="仿宋"/>
          <w:bCs/>
          <w:color w:val="auto"/>
          <w:kern w:val="0"/>
          <w:sz w:val="30"/>
          <w:szCs w:val="30"/>
        </w:rPr>
        <w:t>政府采购实务操作及法律风险防范</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Fonts w:hint="eastAsia" w:ascii="仿宋" w:hAnsi="仿宋" w:eastAsia="仿宋" w:cs="仿宋"/>
          <w:bCs/>
          <w:color w:val="auto"/>
          <w:kern w:val="0"/>
          <w:sz w:val="30"/>
          <w:szCs w:val="30"/>
        </w:rPr>
      </w:pPr>
      <w:r>
        <w:rPr>
          <w:rFonts w:hint="eastAsia" w:ascii="仿宋" w:hAnsi="仿宋" w:eastAsia="仿宋" w:cs="仿宋"/>
          <w:bCs/>
          <w:color w:val="auto"/>
          <w:kern w:val="0"/>
          <w:sz w:val="30"/>
          <w:szCs w:val="30"/>
        </w:rPr>
        <w:t>政府采购文件编制的规范和要求</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Fonts w:hint="eastAsia" w:ascii="仿宋" w:hAnsi="仿宋" w:eastAsia="仿宋" w:cs="仿宋"/>
          <w:b/>
          <w:color w:val="auto"/>
          <w:spacing w:val="8"/>
          <w:sz w:val="30"/>
          <w:szCs w:val="30"/>
        </w:rPr>
      </w:pPr>
      <w:r>
        <w:rPr>
          <w:rFonts w:hint="eastAsia" w:ascii="仿宋" w:hAnsi="仿宋" w:eastAsia="仿宋" w:cs="仿宋"/>
          <w:bCs/>
          <w:color w:val="auto"/>
          <w:kern w:val="0"/>
          <w:sz w:val="30"/>
          <w:szCs w:val="30"/>
        </w:rPr>
        <w:t>政府购买服务与地方政府融资风险防范</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Fonts w:hint="eastAsia" w:ascii="仿宋" w:hAnsi="仿宋" w:eastAsia="仿宋" w:cs="仿宋"/>
          <w:b/>
          <w:color w:val="auto"/>
          <w:spacing w:val="8"/>
          <w:sz w:val="30"/>
          <w:szCs w:val="30"/>
        </w:rPr>
      </w:pPr>
      <w:r>
        <w:rPr>
          <w:rFonts w:hint="eastAsia" w:ascii="仿宋" w:hAnsi="仿宋" w:eastAsia="仿宋" w:cs="仿宋"/>
          <w:bCs/>
          <w:color w:val="auto"/>
          <w:kern w:val="0"/>
          <w:sz w:val="30"/>
          <w:szCs w:val="30"/>
        </w:rPr>
        <w:t>政府采购操作领域中的实际问题及案例分析</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b/>
          <w:bCs/>
          <w:sz w:val="30"/>
          <w:szCs w:val="30"/>
          <w:lang w:val="en-US" w:eastAsia="zh-CN"/>
        </w:rPr>
      </w:pPr>
      <w:r>
        <w:rPr>
          <w:rFonts w:hint="eastAsia" w:ascii="黑体" w:hAnsi="黑体" w:eastAsia="黑体" w:cs="黑体"/>
          <w:b/>
          <w:bCs/>
          <w:sz w:val="30"/>
          <w:szCs w:val="30"/>
        </w:rPr>
        <w:t>专题十</w:t>
      </w:r>
      <w:r>
        <w:rPr>
          <w:rFonts w:hint="eastAsia" w:ascii="黑体" w:hAnsi="黑体" w:eastAsia="黑体" w:cs="黑体"/>
          <w:b/>
          <w:bCs/>
          <w:sz w:val="30"/>
          <w:szCs w:val="30"/>
          <w:lang w:val="en-US" w:eastAsia="zh-CN"/>
        </w:rPr>
        <w:t>一</w:t>
      </w:r>
      <w:r>
        <w:rPr>
          <w:rFonts w:hint="eastAsia" w:ascii="黑体" w:hAnsi="黑体" w:eastAsia="黑体" w:cs="黑体"/>
          <w:b/>
          <w:bCs/>
          <w:sz w:val="30"/>
          <w:szCs w:val="30"/>
        </w:rPr>
        <w:t>：</w:t>
      </w:r>
      <w:r>
        <w:rPr>
          <w:rFonts w:hint="eastAsia" w:ascii="黑体" w:hAnsi="黑体" w:eastAsia="黑体" w:cs="黑体"/>
          <w:b/>
          <w:bCs/>
          <w:sz w:val="30"/>
          <w:szCs w:val="30"/>
          <w:lang w:val="en-US" w:eastAsia="zh-CN"/>
        </w:rPr>
        <w:t>事业单位财务规则热点难点问题解析</w:t>
      </w:r>
    </w:p>
    <w:p>
      <w:pPr>
        <w:keepNext w:val="0"/>
        <w:keepLines w:val="0"/>
        <w:pageBreakBefore w:val="0"/>
        <w:widowControl/>
        <w:numPr>
          <w:ilvl w:val="0"/>
          <w:numId w:val="13"/>
        </w:numPr>
        <w:kinsoku/>
        <w:wordWrap/>
        <w:overflowPunct/>
        <w:topLinePunct w:val="0"/>
        <w:autoSpaceDE/>
        <w:autoSpaceDN/>
        <w:bidi w:val="0"/>
        <w:adjustRightInd/>
        <w:snapToGrid/>
        <w:spacing w:line="560" w:lineRule="exact"/>
        <w:ind w:firstLine="323" w:firstLineChars="100"/>
        <w:jc w:val="left"/>
        <w:textAlignment w:val="auto"/>
        <w:rPr>
          <w:rFonts w:hint="eastAsia" w:ascii="楷体" w:hAnsi="楷体" w:eastAsia="楷体" w:cs="楷体"/>
          <w:b/>
          <w:spacing w:val="8"/>
          <w:sz w:val="30"/>
          <w:szCs w:val="30"/>
        </w:rPr>
      </w:pPr>
      <w:r>
        <w:rPr>
          <w:rFonts w:hint="eastAsia" w:ascii="楷体" w:hAnsi="楷体" w:eastAsia="楷体" w:cs="楷体"/>
          <w:b/>
          <w:spacing w:val="8"/>
          <w:sz w:val="30"/>
          <w:szCs w:val="30"/>
        </w:rPr>
        <w:t>专题介绍：</w:t>
      </w:r>
    </w:p>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163" w:leftChars="50" w:right="163" w:rightChars="50" w:firstLine="567"/>
        <w:jc w:val="left"/>
        <w:textAlignment w:val="auto"/>
        <w:rPr>
          <w:rFonts w:hint="eastAsia" w:ascii="仿宋" w:hAnsi="仿宋" w:eastAsia="仿宋" w:cs="仿宋"/>
          <w:bCs/>
          <w:color w:val="auto"/>
          <w:spacing w:val="8"/>
          <w:kern w:val="2"/>
          <w:sz w:val="30"/>
          <w:szCs w:val="30"/>
          <w:lang w:val="en-US" w:eastAsia="zh-CN" w:bidi="ar-SA"/>
        </w:rPr>
      </w:pPr>
      <w:r>
        <w:rPr>
          <w:rFonts w:hint="eastAsia" w:ascii="仿宋" w:hAnsi="仿宋" w:eastAsia="仿宋" w:cs="仿宋"/>
          <w:bCs/>
          <w:color w:val="auto"/>
          <w:spacing w:val="8"/>
          <w:kern w:val="2"/>
          <w:sz w:val="30"/>
          <w:szCs w:val="30"/>
          <w:lang w:val="en-US" w:eastAsia="zh-CN" w:bidi="ar-SA"/>
        </w:rPr>
        <w:t>为了进一步规范事业单位的财务行为，加强事业单位财务管理和监督，提高资金使用效益，保障事业单位健康发展，2022年3月1日财政部制定的《事业单位财务规则》正式实施。这正是落实国家</w:t>
      </w:r>
      <w:r>
        <w:rPr>
          <w:rFonts w:hint="eastAsia" w:ascii="仿宋" w:hAnsi="仿宋" w:eastAsia="仿宋" w:cs="仿宋"/>
          <w:bCs/>
          <w:color w:val="auto"/>
          <w:spacing w:val="8"/>
          <w:sz w:val="30"/>
          <w:szCs w:val="30"/>
        </w:rPr>
        <w:t>“</w:t>
      </w:r>
      <w:r>
        <w:rPr>
          <w:rFonts w:hint="eastAsia" w:ascii="仿宋" w:hAnsi="仿宋" w:eastAsia="仿宋" w:cs="仿宋"/>
          <w:bCs/>
          <w:color w:val="auto"/>
          <w:spacing w:val="8"/>
          <w:sz w:val="30"/>
          <w:szCs w:val="30"/>
          <w:lang w:val="en-US" w:eastAsia="zh-CN"/>
        </w:rPr>
        <w:t>勤</w:t>
      </w:r>
      <w:r>
        <w:rPr>
          <w:rFonts w:hint="eastAsia" w:ascii="仿宋" w:hAnsi="仿宋" w:eastAsia="仿宋" w:cs="仿宋"/>
          <w:bCs/>
          <w:color w:val="auto"/>
          <w:spacing w:val="8"/>
          <w:kern w:val="2"/>
          <w:sz w:val="30"/>
          <w:szCs w:val="30"/>
          <w:lang w:val="en-US" w:eastAsia="zh-CN" w:bidi="ar-SA"/>
        </w:rPr>
        <w:t>俭办事业</w:t>
      </w:r>
      <w:r>
        <w:rPr>
          <w:rFonts w:hint="eastAsia" w:ascii="仿宋" w:hAnsi="仿宋" w:eastAsia="仿宋" w:cs="仿宋"/>
          <w:bCs/>
          <w:color w:val="auto"/>
          <w:spacing w:val="8"/>
          <w:sz w:val="30"/>
          <w:szCs w:val="30"/>
        </w:rPr>
        <w:t>”</w:t>
      </w:r>
      <w:r>
        <w:rPr>
          <w:rFonts w:hint="eastAsia" w:ascii="仿宋" w:hAnsi="仿宋" w:eastAsia="仿宋" w:cs="仿宋"/>
          <w:bCs/>
          <w:color w:val="auto"/>
          <w:spacing w:val="8"/>
          <w:kern w:val="2"/>
          <w:sz w:val="30"/>
          <w:szCs w:val="30"/>
          <w:lang w:val="en-US" w:eastAsia="zh-CN" w:bidi="ar-SA"/>
        </w:rPr>
        <w:t>的方针指引，也是我国规范事业单位财务行为、提高财务管理水平、促进事业单位发展核心规则。新规则贯彻了预算一体化相关理念，融合了国有资产管理、政府会计制度和事业单位成本核算等内容，强调事业单位要全面实施预算绩效管理，有效提升单位规范化、科学化管理水平。</w:t>
      </w:r>
    </w:p>
    <w:p>
      <w:pPr>
        <w:keepNext w:val="0"/>
        <w:keepLines w:val="0"/>
        <w:pageBreakBefore w:val="0"/>
        <w:widowControl/>
        <w:numPr>
          <w:ilvl w:val="0"/>
          <w:numId w:val="13"/>
        </w:numPr>
        <w:kinsoku/>
        <w:wordWrap/>
        <w:overflowPunct/>
        <w:topLinePunct w:val="0"/>
        <w:autoSpaceDE/>
        <w:autoSpaceDN/>
        <w:bidi w:val="0"/>
        <w:adjustRightInd/>
        <w:snapToGrid/>
        <w:spacing w:line="560" w:lineRule="exact"/>
        <w:ind w:firstLine="323" w:firstLineChars="100"/>
        <w:jc w:val="left"/>
        <w:textAlignment w:val="auto"/>
        <w:rPr>
          <w:rFonts w:hint="eastAsia" w:ascii="楷体" w:hAnsi="楷体" w:eastAsia="楷体" w:cs="楷体"/>
          <w:b/>
          <w:spacing w:val="8"/>
          <w:sz w:val="30"/>
          <w:szCs w:val="30"/>
          <w:lang w:eastAsia="zh-CN"/>
        </w:rPr>
      </w:pPr>
      <w:r>
        <w:rPr>
          <w:rFonts w:hint="eastAsia" w:ascii="楷体" w:hAnsi="楷体" w:eastAsia="楷体" w:cs="楷体"/>
          <w:b/>
          <w:spacing w:val="8"/>
          <w:sz w:val="30"/>
          <w:szCs w:val="30"/>
          <w:lang w:eastAsia="zh-CN"/>
        </w:rPr>
        <w:t>课程内容：</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Fonts w:hint="eastAsia" w:ascii="仿宋" w:hAnsi="仿宋" w:eastAsia="仿宋" w:cs="仿宋"/>
          <w:b w:val="0"/>
          <w:bCs/>
          <w:color w:val="auto"/>
          <w:kern w:val="0"/>
          <w:sz w:val="30"/>
          <w:szCs w:val="30"/>
        </w:rPr>
      </w:pPr>
      <w:r>
        <w:rPr>
          <w:rFonts w:hint="eastAsia" w:ascii="仿宋" w:hAnsi="仿宋" w:eastAsia="仿宋" w:cs="仿宋"/>
          <w:b w:val="0"/>
          <w:bCs/>
          <w:color w:val="auto"/>
          <w:kern w:val="0"/>
          <w:sz w:val="30"/>
          <w:szCs w:val="30"/>
          <w:lang w:eastAsia="zh-CN"/>
        </w:rPr>
        <w:t>《</w:t>
      </w:r>
      <w:r>
        <w:rPr>
          <w:rFonts w:hint="eastAsia" w:ascii="仿宋" w:hAnsi="仿宋" w:eastAsia="仿宋" w:cs="仿宋"/>
          <w:b w:val="0"/>
          <w:bCs/>
          <w:color w:val="auto"/>
          <w:kern w:val="0"/>
          <w:sz w:val="30"/>
          <w:szCs w:val="30"/>
          <w:lang w:val="en-US" w:eastAsia="zh-CN"/>
        </w:rPr>
        <w:t>事业单位财务规则</w:t>
      </w:r>
      <w:r>
        <w:rPr>
          <w:rFonts w:hint="eastAsia" w:ascii="仿宋" w:hAnsi="仿宋" w:eastAsia="仿宋" w:cs="仿宋"/>
          <w:b w:val="0"/>
          <w:bCs/>
          <w:color w:val="auto"/>
          <w:kern w:val="0"/>
          <w:sz w:val="30"/>
          <w:szCs w:val="30"/>
          <w:lang w:eastAsia="zh-CN"/>
        </w:rPr>
        <w:t>》</w:t>
      </w:r>
      <w:r>
        <w:rPr>
          <w:rFonts w:hint="eastAsia" w:ascii="仿宋" w:hAnsi="仿宋" w:eastAsia="仿宋" w:cs="仿宋"/>
          <w:b w:val="0"/>
          <w:bCs/>
          <w:color w:val="auto"/>
          <w:kern w:val="0"/>
          <w:sz w:val="30"/>
          <w:szCs w:val="30"/>
          <w:lang w:val="en-US" w:eastAsia="zh-CN"/>
        </w:rPr>
        <w:t>新旧差异分析</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Fonts w:hint="eastAsia" w:ascii="仿宋" w:hAnsi="仿宋" w:eastAsia="仿宋" w:cs="仿宋"/>
          <w:b w:val="0"/>
          <w:bCs/>
          <w:color w:val="auto"/>
          <w:kern w:val="0"/>
          <w:sz w:val="30"/>
          <w:szCs w:val="30"/>
        </w:rPr>
      </w:pPr>
      <w:r>
        <w:rPr>
          <w:rFonts w:hint="eastAsia" w:ascii="仿宋" w:hAnsi="仿宋" w:eastAsia="仿宋" w:cs="仿宋"/>
          <w:b w:val="0"/>
          <w:bCs/>
          <w:color w:val="auto"/>
          <w:kern w:val="0"/>
          <w:sz w:val="30"/>
          <w:szCs w:val="30"/>
          <w:lang w:val="en-US" w:eastAsia="zh-CN"/>
        </w:rPr>
        <w:t>新规则与政府会计制度相衔接问题解析</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Fonts w:hint="eastAsia" w:ascii="仿宋" w:hAnsi="仿宋" w:eastAsia="仿宋" w:cs="仿宋"/>
          <w:b w:val="0"/>
          <w:bCs/>
          <w:color w:val="auto"/>
          <w:kern w:val="0"/>
          <w:sz w:val="30"/>
          <w:szCs w:val="30"/>
        </w:rPr>
      </w:pPr>
      <w:r>
        <w:rPr>
          <w:rFonts w:hint="eastAsia" w:ascii="仿宋" w:hAnsi="仿宋" w:eastAsia="仿宋" w:cs="仿宋"/>
          <w:b w:val="0"/>
          <w:bCs/>
          <w:kern w:val="0"/>
          <w:sz w:val="30"/>
          <w:szCs w:val="30"/>
        </w:rPr>
        <w:t>事业单位成本核算与管理</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Fonts w:hint="eastAsia" w:ascii="仿宋" w:hAnsi="仿宋" w:eastAsia="仿宋" w:cs="仿宋"/>
          <w:b w:val="0"/>
          <w:bCs/>
          <w:kern w:val="0"/>
          <w:sz w:val="30"/>
          <w:szCs w:val="30"/>
        </w:rPr>
      </w:pPr>
      <w:r>
        <w:rPr>
          <w:rFonts w:hint="eastAsia" w:ascii="仿宋" w:hAnsi="仿宋" w:eastAsia="仿宋" w:cs="仿宋"/>
          <w:b w:val="0"/>
          <w:bCs/>
          <w:kern w:val="0"/>
          <w:sz w:val="30"/>
          <w:szCs w:val="30"/>
        </w:rPr>
        <w:t>预算管理一体化与事业单位预算管理</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Fonts w:hint="eastAsia" w:ascii="仿宋" w:hAnsi="仿宋" w:eastAsia="仿宋" w:cs="仿宋"/>
          <w:b w:val="0"/>
          <w:bCs/>
          <w:color w:val="auto"/>
          <w:kern w:val="0"/>
          <w:sz w:val="30"/>
          <w:szCs w:val="30"/>
        </w:rPr>
      </w:pPr>
      <w:r>
        <w:rPr>
          <w:rFonts w:hint="eastAsia" w:ascii="仿宋" w:hAnsi="仿宋" w:eastAsia="仿宋" w:cs="仿宋"/>
          <w:b w:val="0"/>
          <w:bCs/>
          <w:color w:val="auto"/>
          <w:kern w:val="0"/>
          <w:sz w:val="30"/>
          <w:szCs w:val="30"/>
          <w:lang w:val="en-US" w:eastAsia="zh-CN"/>
        </w:rPr>
        <w:t>事业单位资产管理</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Fonts w:hint="eastAsia" w:ascii="仿宋" w:hAnsi="仿宋" w:eastAsia="仿宋" w:cs="仿宋"/>
          <w:b w:val="0"/>
          <w:bCs/>
          <w:color w:val="auto"/>
          <w:spacing w:val="8"/>
          <w:sz w:val="30"/>
          <w:szCs w:val="30"/>
        </w:rPr>
      </w:pPr>
      <w:r>
        <w:rPr>
          <w:rStyle w:val="17"/>
          <w:rFonts w:hint="eastAsia" w:ascii="仿宋" w:hAnsi="仿宋" w:eastAsia="仿宋" w:cs="仿宋"/>
          <w:b w:val="0"/>
          <w:bCs/>
          <w:i w:val="0"/>
          <w:caps w:val="0"/>
          <w:color w:val="333333"/>
          <w:spacing w:val="0"/>
          <w:sz w:val="30"/>
          <w:szCs w:val="30"/>
        </w:rPr>
        <w:t>财务报告和决算</w:t>
      </w:r>
      <w:r>
        <w:rPr>
          <w:rStyle w:val="17"/>
          <w:rFonts w:hint="eastAsia" w:ascii="仿宋" w:hAnsi="仿宋" w:eastAsia="仿宋" w:cs="仿宋"/>
          <w:b w:val="0"/>
          <w:bCs/>
          <w:i w:val="0"/>
          <w:caps w:val="0"/>
          <w:color w:val="333333"/>
          <w:spacing w:val="0"/>
          <w:sz w:val="30"/>
          <w:szCs w:val="30"/>
          <w:lang w:val="en-US" w:eastAsia="zh-CN"/>
        </w:rPr>
        <w:t>报告</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b/>
          <w:bCs/>
          <w:sz w:val="30"/>
          <w:szCs w:val="30"/>
          <w:lang w:val="en-US" w:eastAsia="zh-CN"/>
        </w:rPr>
      </w:pPr>
      <w:r>
        <w:rPr>
          <w:rFonts w:hint="eastAsia" w:ascii="黑体" w:hAnsi="黑体" w:eastAsia="黑体" w:cs="黑体"/>
          <w:b/>
          <w:bCs/>
          <w:sz w:val="30"/>
          <w:szCs w:val="30"/>
        </w:rPr>
        <w:t>专题十</w:t>
      </w:r>
      <w:r>
        <w:rPr>
          <w:rFonts w:hint="eastAsia" w:ascii="黑体" w:hAnsi="黑体" w:eastAsia="黑体" w:cs="黑体"/>
          <w:b/>
          <w:bCs/>
          <w:sz w:val="30"/>
          <w:szCs w:val="30"/>
          <w:lang w:val="en-US" w:eastAsia="zh-CN"/>
        </w:rPr>
        <w:t>二</w:t>
      </w:r>
      <w:r>
        <w:rPr>
          <w:rFonts w:hint="eastAsia" w:ascii="黑体" w:hAnsi="黑体" w:eastAsia="黑体" w:cs="黑体"/>
          <w:b/>
          <w:bCs/>
          <w:sz w:val="30"/>
          <w:szCs w:val="30"/>
        </w:rPr>
        <w:t>：</w:t>
      </w:r>
      <w:r>
        <w:rPr>
          <w:rFonts w:hint="eastAsia" w:ascii="黑体" w:hAnsi="黑体" w:eastAsia="黑体" w:cs="黑体"/>
          <w:b/>
          <w:bCs/>
          <w:sz w:val="30"/>
          <w:szCs w:val="30"/>
          <w:lang w:val="en-US" w:eastAsia="zh-CN"/>
        </w:rPr>
        <w:t>工程建设项目全过程财务管控与审计实务</w:t>
      </w:r>
    </w:p>
    <w:p>
      <w:pPr>
        <w:keepNext w:val="0"/>
        <w:keepLines w:val="0"/>
        <w:pageBreakBefore w:val="0"/>
        <w:widowControl/>
        <w:numPr>
          <w:ilvl w:val="0"/>
          <w:numId w:val="14"/>
        </w:numPr>
        <w:kinsoku/>
        <w:wordWrap/>
        <w:overflowPunct/>
        <w:topLinePunct w:val="0"/>
        <w:autoSpaceDE/>
        <w:autoSpaceDN/>
        <w:bidi w:val="0"/>
        <w:adjustRightInd/>
        <w:snapToGrid/>
        <w:spacing w:line="560" w:lineRule="exact"/>
        <w:ind w:firstLine="323" w:firstLineChars="100"/>
        <w:jc w:val="left"/>
        <w:textAlignment w:val="auto"/>
        <w:rPr>
          <w:rFonts w:hint="eastAsia" w:ascii="楷体" w:hAnsi="楷体" w:eastAsia="楷体" w:cs="楷体"/>
          <w:b/>
          <w:spacing w:val="8"/>
          <w:sz w:val="30"/>
          <w:szCs w:val="30"/>
          <w:lang w:eastAsia="zh-CN"/>
        </w:rPr>
      </w:pPr>
      <w:r>
        <w:rPr>
          <w:rFonts w:hint="eastAsia" w:ascii="楷体" w:hAnsi="楷体" w:eastAsia="楷体" w:cs="楷体"/>
          <w:b/>
          <w:spacing w:val="8"/>
          <w:sz w:val="30"/>
          <w:szCs w:val="30"/>
          <w:lang w:eastAsia="zh-CN"/>
        </w:rPr>
        <w:t>专题介绍：</w:t>
      </w:r>
    </w:p>
    <w:p>
      <w:pPr>
        <w:keepNext w:val="0"/>
        <w:keepLines w:val="0"/>
        <w:pageBreakBefore w:val="0"/>
        <w:kinsoku/>
        <w:wordWrap/>
        <w:overflowPunct/>
        <w:topLinePunct w:val="0"/>
        <w:autoSpaceDE/>
        <w:autoSpaceDN/>
        <w:bidi w:val="0"/>
        <w:adjustRightInd/>
        <w:snapToGrid/>
        <w:spacing w:line="560" w:lineRule="exact"/>
        <w:ind w:firstLine="646" w:firstLineChars="200"/>
        <w:textAlignment w:val="auto"/>
        <w:rPr>
          <w:rFonts w:hint="eastAsia" w:ascii="仿宋" w:hAnsi="仿宋" w:eastAsia="仿宋" w:cs="仿宋"/>
          <w:bCs/>
          <w:color w:val="auto"/>
          <w:spacing w:val="8"/>
          <w:kern w:val="2"/>
          <w:sz w:val="30"/>
          <w:szCs w:val="30"/>
          <w:lang w:val="en-US" w:eastAsia="zh-CN" w:bidi="ar-SA"/>
        </w:rPr>
      </w:pPr>
      <w:r>
        <w:rPr>
          <w:rFonts w:hint="eastAsia" w:ascii="仿宋" w:hAnsi="仿宋" w:eastAsia="仿宋" w:cs="仿宋"/>
          <w:bCs/>
          <w:color w:val="auto"/>
          <w:spacing w:val="8"/>
          <w:kern w:val="2"/>
          <w:sz w:val="30"/>
          <w:szCs w:val="30"/>
          <w:lang w:val="en-US" w:eastAsia="zh-CN" w:bidi="ar-SA"/>
        </w:rPr>
        <w:t>工程建设项目管理是一项庞大的系统工程，包括前期立项考察、项目评估、招投标、勘察设计、项目咨询、现场施工、竣工验收以及决算等诸多环节，具有资金投入多、时间跨度长、参与建设主体多、风险系数高的特点。特别是随着“一带一路”战略的推进，企业海外工程建设项目日益增多，项目管理更加复杂多变。工程建设项目管理失控不仅会造成经济效益低下，危及企业资金安全，还有可能导致领导层及财务人员的经济责任。因此，工程建设项目的财务管控一直是备受企事业单位关注的难点和重点。</w:t>
      </w:r>
    </w:p>
    <w:p>
      <w:pPr>
        <w:keepNext w:val="0"/>
        <w:keepLines w:val="0"/>
        <w:pageBreakBefore w:val="0"/>
        <w:kinsoku/>
        <w:wordWrap/>
        <w:overflowPunct/>
        <w:topLinePunct w:val="0"/>
        <w:autoSpaceDE/>
        <w:autoSpaceDN/>
        <w:bidi w:val="0"/>
        <w:adjustRightInd/>
        <w:snapToGrid/>
        <w:spacing w:line="560" w:lineRule="exact"/>
        <w:ind w:firstLine="646" w:firstLineChars="200"/>
        <w:textAlignment w:val="auto"/>
        <w:rPr>
          <w:rFonts w:hint="eastAsia" w:ascii="仿宋" w:hAnsi="仿宋" w:eastAsia="仿宋" w:cs="仿宋"/>
          <w:bCs/>
          <w:color w:val="auto"/>
          <w:spacing w:val="8"/>
          <w:kern w:val="2"/>
          <w:sz w:val="30"/>
          <w:szCs w:val="30"/>
          <w:lang w:val="en-US" w:eastAsia="zh-CN" w:bidi="ar-SA"/>
        </w:rPr>
      </w:pPr>
    </w:p>
    <w:p>
      <w:pPr>
        <w:keepNext w:val="0"/>
        <w:keepLines w:val="0"/>
        <w:pageBreakBefore w:val="0"/>
        <w:kinsoku/>
        <w:wordWrap/>
        <w:overflowPunct/>
        <w:topLinePunct w:val="0"/>
        <w:autoSpaceDE/>
        <w:autoSpaceDN/>
        <w:bidi w:val="0"/>
        <w:adjustRightInd/>
        <w:snapToGrid/>
        <w:spacing w:line="560" w:lineRule="exact"/>
        <w:ind w:firstLine="646" w:firstLineChars="200"/>
        <w:textAlignment w:val="auto"/>
        <w:rPr>
          <w:rFonts w:hint="eastAsia" w:ascii="仿宋" w:hAnsi="仿宋" w:eastAsia="仿宋" w:cs="仿宋"/>
          <w:bCs/>
          <w:color w:val="auto"/>
          <w:spacing w:val="8"/>
          <w:kern w:val="2"/>
          <w:sz w:val="30"/>
          <w:szCs w:val="30"/>
          <w:lang w:val="en-US" w:eastAsia="zh-CN" w:bidi="ar-SA"/>
        </w:rPr>
      </w:pPr>
    </w:p>
    <w:p>
      <w:pPr>
        <w:keepNext w:val="0"/>
        <w:keepLines w:val="0"/>
        <w:pageBreakBefore w:val="0"/>
        <w:widowControl/>
        <w:numPr>
          <w:ilvl w:val="0"/>
          <w:numId w:val="14"/>
        </w:numPr>
        <w:kinsoku/>
        <w:wordWrap/>
        <w:overflowPunct/>
        <w:topLinePunct w:val="0"/>
        <w:autoSpaceDE/>
        <w:autoSpaceDN/>
        <w:bidi w:val="0"/>
        <w:adjustRightInd/>
        <w:snapToGrid/>
        <w:spacing w:line="560" w:lineRule="exact"/>
        <w:ind w:firstLine="323" w:firstLineChars="100"/>
        <w:jc w:val="left"/>
        <w:textAlignment w:val="auto"/>
        <w:rPr>
          <w:rFonts w:hint="eastAsia" w:ascii="楷体" w:hAnsi="楷体" w:eastAsia="楷体" w:cs="楷体"/>
          <w:b/>
          <w:spacing w:val="8"/>
          <w:sz w:val="30"/>
          <w:szCs w:val="30"/>
          <w:lang w:eastAsia="zh-CN"/>
        </w:rPr>
      </w:pPr>
      <w:r>
        <w:rPr>
          <w:rFonts w:hint="eastAsia" w:ascii="楷体" w:hAnsi="楷体" w:eastAsia="楷体" w:cs="楷体"/>
          <w:b/>
          <w:spacing w:val="8"/>
          <w:sz w:val="30"/>
          <w:szCs w:val="30"/>
          <w:lang w:eastAsia="zh-CN"/>
        </w:rPr>
        <w:t>课程内容：</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sz w:val="30"/>
          <w:szCs w:val="30"/>
        </w:rPr>
      </w:pPr>
      <w:r>
        <w:rPr>
          <w:rStyle w:val="17"/>
          <w:rFonts w:hint="eastAsia" w:ascii="仿宋" w:hAnsi="仿宋" w:eastAsia="仿宋" w:cs="仿宋"/>
          <w:b w:val="0"/>
          <w:bCs/>
          <w:i w:val="0"/>
          <w:caps w:val="0"/>
          <w:color w:val="333333"/>
          <w:spacing w:val="0"/>
          <w:sz w:val="30"/>
          <w:szCs w:val="30"/>
        </w:rPr>
        <w:t>工程建设项目全过程财务管控</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sz w:val="30"/>
          <w:szCs w:val="30"/>
        </w:rPr>
      </w:pPr>
      <w:r>
        <w:rPr>
          <w:rStyle w:val="17"/>
          <w:rFonts w:hint="eastAsia" w:ascii="仿宋" w:hAnsi="仿宋" w:eastAsia="仿宋" w:cs="仿宋"/>
          <w:b w:val="0"/>
          <w:bCs/>
          <w:i w:val="0"/>
          <w:caps w:val="0"/>
          <w:color w:val="333333"/>
          <w:spacing w:val="0"/>
          <w:sz w:val="30"/>
          <w:szCs w:val="30"/>
        </w:rPr>
        <w:t>工程建设项目税务管理</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sz w:val="30"/>
          <w:szCs w:val="30"/>
        </w:rPr>
      </w:pPr>
      <w:r>
        <w:rPr>
          <w:rStyle w:val="17"/>
          <w:rFonts w:hint="eastAsia" w:ascii="仿宋" w:hAnsi="仿宋" w:eastAsia="仿宋" w:cs="仿宋"/>
          <w:b w:val="0"/>
          <w:bCs/>
          <w:i w:val="0"/>
          <w:caps w:val="0"/>
          <w:color w:val="333333"/>
          <w:spacing w:val="0"/>
          <w:sz w:val="30"/>
          <w:szCs w:val="30"/>
        </w:rPr>
        <w:t>工程建设项目全过程跟踪审计</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sz w:val="30"/>
          <w:szCs w:val="30"/>
        </w:rPr>
      </w:pPr>
      <w:r>
        <w:rPr>
          <w:rStyle w:val="17"/>
          <w:rFonts w:hint="eastAsia" w:ascii="仿宋" w:hAnsi="仿宋" w:eastAsia="仿宋" w:cs="仿宋"/>
          <w:b w:val="0"/>
          <w:bCs/>
          <w:i w:val="0"/>
          <w:caps w:val="0"/>
          <w:color w:val="333333"/>
          <w:spacing w:val="0"/>
          <w:sz w:val="30"/>
          <w:szCs w:val="30"/>
        </w:rPr>
        <w:t>招标管理</w:t>
      </w:r>
      <w:r>
        <w:rPr>
          <w:rStyle w:val="17"/>
          <w:rFonts w:hint="eastAsia" w:ascii="仿宋" w:hAnsi="仿宋" w:eastAsia="仿宋" w:cs="仿宋"/>
          <w:b w:val="0"/>
          <w:bCs/>
          <w:i w:val="0"/>
          <w:caps w:val="0"/>
          <w:color w:val="333333"/>
          <w:spacing w:val="0"/>
          <w:sz w:val="30"/>
          <w:szCs w:val="30"/>
          <w:lang w:eastAsia="zh-CN"/>
        </w:rPr>
        <w:t>、</w:t>
      </w:r>
      <w:r>
        <w:rPr>
          <w:rStyle w:val="17"/>
          <w:rFonts w:hint="eastAsia" w:ascii="仿宋" w:hAnsi="仿宋" w:eastAsia="仿宋" w:cs="仿宋"/>
          <w:b w:val="0"/>
          <w:bCs/>
          <w:i w:val="0"/>
          <w:caps w:val="0"/>
          <w:color w:val="333333"/>
          <w:spacing w:val="0"/>
          <w:sz w:val="30"/>
          <w:szCs w:val="30"/>
        </w:rPr>
        <w:t>合同管理与审计</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sz w:val="30"/>
          <w:szCs w:val="30"/>
        </w:rPr>
      </w:pPr>
      <w:r>
        <w:rPr>
          <w:rStyle w:val="17"/>
          <w:rFonts w:hint="eastAsia" w:ascii="仿宋" w:hAnsi="仿宋" w:eastAsia="仿宋" w:cs="仿宋"/>
          <w:b w:val="0"/>
          <w:bCs/>
          <w:i w:val="0"/>
          <w:caps w:val="0"/>
          <w:color w:val="333333"/>
          <w:spacing w:val="0"/>
          <w:sz w:val="30"/>
          <w:szCs w:val="30"/>
        </w:rPr>
        <w:t>工程建设项目内部控制审计</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sz w:val="30"/>
          <w:szCs w:val="30"/>
        </w:rPr>
      </w:pPr>
      <w:r>
        <w:rPr>
          <w:rStyle w:val="17"/>
          <w:rFonts w:hint="eastAsia" w:ascii="仿宋" w:hAnsi="仿宋" w:eastAsia="仿宋" w:cs="仿宋"/>
          <w:b w:val="0"/>
          <w:bCs/>
          <w:i w:val="0"/>
          <w:caps w:val="0"/>
          <w:color w:val="333333"/>
          <w:spacing w:val="0"/>
          <w:sz w:val="30"/>
          <w:szCs w:val="30"/>
        </w:rPr>
        <w:t>工程建设项目内部控制与风险管理</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b/>
          <w:bCs/>
          <w:sz w:val="30"/>
          <w:szCs w:val="30"/>
          <w:lang w:val="en-US" w:eastAsia="zh-CN"/>
        </w:rPr>
      </w:pPr>
      <w:r>
        <w:rPr>
          <w:rFonts w:hint="eastAsia" w:ascii="黑体" w:hAnsi="黑体" w:eastAsia="黑体" w:cs="黑体"/>
          <w:b/>
          <w:bCs/>
          <w:sz w:val="30"/>
          <w:szCs w:val="30"/>
          <w:lang w:val="en-US" w:eastAsia="zh-CN"/>
        </w:rPr>
        <w:t>专题十三：地方政府债务管理与绩效评价</w:t>
      </w:r>
    </w:p>
    <w:p>
      <w:pPr>
        <w:keepNext w:val="0"/>
        <w:keepLines w:val="0"/>
        <w:pageBreakBefore w:val="0"/>
        <w:widowControl/>
        <w:numPr>
          <w:ilvl w:val="0"/>
          <w:numId w:val="15"/>
        </w:numPr>
        <w:kinsoku/>
        <w:wordWrap/>
        <w:overflowPunct/>
        <w:topLinePunct w:val="0"/>
        <w:autoSpaceDE/>
        <w:autoSpaceDN/>
        <w:bidi w:val="0"/>
        <w:adjustRightInd/>
        <w:snapToGrid/>
        <w:spacing w:line="560" w:lineRule="exact"/>
        <w:ind w:firstLine="323" w:firstLineChars="100"/>
        <w:jc w:val="left"/>
        <w:textAlignment w:val="auto"/>
        <w:rPr>
          <w:rFonts w:hint="eastAsia" w:ascii="楷体" w:hAnsi="楷体" w:eastAsia="楷体" w:cs="楷体"/>
          <w:b/>
          <w:spacing w:val="8"/>
          <w:sz w:val="30"/>
          <w:szCs w:val="30"/>
          <w:lang w:val="en-US" w:eastAsia="zh-CN"/>
        </w:rPr>
      </w:pPr>
      <w:r>
        <w:rPr>
          <w:rFonts w:hint="eastAsia" w:ascii="楷体" w:hAnsi="楷体" w:eastAsia="楷体" w:cs="楷体"/>
          <w:b/>
          <w:spacing w:val="8"/>
          <w:sz w:val="30"/>
          <w:szCs w:val="30"/>
          <w:lang w:eastAsia="zh-CN"/>
        </w:rPr>
        <w:t>专题介绍：</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firstLine="614"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2022年中央经济工作会议提出：要继续实施积极的财政政策，要提升财政效能，更加注重财政资金使用的精准性和可持续性。加强和完善地方政府债务管理，有利于进一步提升积极财政政策的效能，对带动扩大有效投资，妥善应对内外部冲击和经济下行压力具有重要意义。近年我国地方政府隐性债务规模和风险不断上升，各地方政府虽然在积极推进债务风险防范与化解、投融资平台转型及推广使用PPP模式化债等方面虽取得了一定成效，但仍面临诸多难以解决的实际操作问题。中央多次强调要防范化解隐性债务及其风险，相关部门也出台了大量的政策性指导文件，旨在建立依法从严遏制新增隐性债务、稳妥化解存量债务的体制机制，有效防范化解地方财政重大风险，牢牢守住不发生系统性风险的底线。</w:t>
      </w:r>
    </w:p>
    <w:p>
      <w:pPr>
        <w:keepNext w:val="0"/>
        <w:keepLines w:val="0"/>
        <w:pageBreakBefore w:val="0"/>
        <w:widowControl/>
        <w:numPr>
          <w:ilvl w:val="0"/>
          <w:numId w:val="15"/>
        </w:numPr>
        <w:kinsoku/>
        <w:wordWrap/>
        <w:overflowPunct/>
        <w:topLinePunct w:val="0"/>
        <w:autoSpaceDE/>
        <w:autoSpaceDN/>
        <w:bidi w:val="0"/>
        <w:adjustRightInd/>
        <w:snapToGrid/>
        <w:spacing w:line="560" w:lineRule="exact"/>
        <w:ind w:firstLine="323" w:firstLineChars="100"/>
        <w:jc w:val="left"/>
        <w:textAlignment w:val="auto"/>
        <w:rPr>
          <w:rFonts w:hint="eastAsia" w:ascii="楷体" w:hAnsi="楷体" w:eastAsia="楷体" w:cs="楷体"/>
          <w:b/>
          <w:spacing w:val="8"/>
          <w:sz w:val="30"/>
          <w:szCs w:val="30"/>
          <w:lang w:eastAsia="zh-CN"/>
        </w:rPr>
      </w:pPr>
      <w:r>
        <w:rPr>
          <w:rFonts w:hint="eastAsia" w:ascii="楷体" w:hAnsi="楷体" w:eastAsia="楷体" w:cs="楷体"/>
          <w:b/>
          <w:spacing w:val="8"/>
          <w:sz w:val="30"/>
          <w:szCs w:val="30"/>
          <w:lang w:eastAsia="zh-CN"/>
        </w:rPr>
        <w:t>课程内容：</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sz w:val="30"/>
          <w:szCs w:val="30"/>
        </w:rPr>
      </w:pPr>
      <w:r>
        <w:rPr>
          <w:rStyle w:val="17"/>
          <w:rFonts w:hint="eastAsia" w:ascii="仿宋" w:hAnsi="仿宋" w:eastAsia="仿宋" w:cs="仿宋"/>
          <w:b w:val="0"/>
          <w:bCs/>
          <w:i w:val="0"/>
          <w:caps w:val="0"/>
          <w:color w:val="333333"/>
          <w:spacing w:val="0"/>
          <w:sz w:val="30"/>
          <w:szCs w:val="30"/>
        </w:rPr>
        <w:t>地方政府债务防范与化解</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sz w:val="30"/>
          <w:szCs w:val="30"/>
        </w:rPr>
      </w:pPr>
      <w:r>
        <w:rPr>
          <w:rStyle w:val="17"/>
          <w:rFonts w:hint="eastAsia" w:ascii="仿宋" w:hAnsi="仿宋" w:eastAsia="仿宋" w:cs="仿宋"/>
          <w:b w:val="0"/>
          <w:bCs/>
          <w:i w:val="0"/>
          <w:caps w:val="0"/>
          <w:color w:val="333333"/>
          <w:spacing w:val="0"/>
          <w:sz w:val="30"/>
          <w:szCs w:val="30"/>
        </w:rPr>
        <w:t>地方投融资体制机制创新与平台公司转型</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sz w:val="30"/>
          <w:szCs w:val="30"/>
        </w:rPr>
      </w:pPr>
      <w:r>
        <w:rPr>
          <w:rStyle w:val="17"/>
          <w:rFonts w:hint="eastAsia" w:ascii="仿宋" w:hAnsi="仿宋" w:eastAsia="仿宋" w:cs="仿宋"/>
          <w:b w:val="0"/>
          <w:bCs/>
          <w:i w:val="0"/>
          <w:caps w:val="0"/>
          <w:color w:val="333333"/>
          <w:spacing w:val="0"/>
          <w:sz w:val="30"/>
          <w:szCs w:val="30"/>
        </w:rPr>
        <w:t>地方债务管理绩效评价实务</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sz w:val="30"/>
          <w:szCs w:val="30"/>
          <w:lang w:val="en-US" w:eastAsia="zh-CN"/>
        </w:rPr>
      </w:pPr>
      <w:r>
        <w:rPr>
          <w:rStyle w:val="17"/>
          <w:rFonts w:hint="eastAsia" w:ascii="仿宋" w:hAnsi="仿宋" w:eastAsia="仿宋" w:cs="仿宋"/>
          <w:b w:val="0"/>
          <w:bCs/>
          <w:i w:val="0"/>
          <w:caps w:val="0"/>
          <w:color w:val="333333"/>
          <w:spacing w:val="0"/>
          <w:sz w:val="30"/>
          <w:szCs w:val="30"/>
        </w:rPr>
        <w:t>PPP项目绩效管理最新政策解读与应用实务</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jc w:val="left"/>
        <w:textAlignment w:val="auto"/>
        <w:rPr>
          <w:rFonts w:hint="eastAsia" w:ascii="黑体" w:hAnsi="黑体" w:eastAsia="黑体" w:cs="黑体"/>
          <w:b/>
          <w:bCs/>
          <w:sz w:val="30"/>
          <w:szCs w:val="30"/>
          <w:lang w:val="en-US" w:eastAsia="zh-CN"/>
        </w:rPr>
      </w:pPr>
      <w:r>
        <w:rPr>
          <w:rFonts w:hint="eastAsia" w:ascii="黑体" w:hAnsi="黑体" w:eastAsia="黑体" w:cs="黑体"/>
          <w:b/>
          <w:bCs/>
          <w:sz w:val="30"/>
          <w:szCs w:val="30"/>
          <w:lang w:val="en-US" w:eastAsia="zh-CN"/>
        </w:rPr>
        <w:t>专题十四：行政事业单位成本核算与成本管理</w:t>
      </w:r>
    </w:p>
    <w:p>
      <w:pPr>
        <w:keepNext w:val="0"/>
        <w:keepLines w:val="0"/>
        <w:pageBreakBefore w:val="0"/>
        <w:widowControl/>
        <w:numPr>
          <w:ilvl w:val="0"/>
          <w:numId w:val="16"/>
        </w:numPr>
        <w:kinsoku/>
        <w:wordWrap/>
        <w:overflowPunct/>
        <w:topLinePunct w:val="0"/>
        <w:autoSpaceDE/>
        <w:autoSpaceDN/>
        <w:bidi w:val="0"/>
        <w:adjustRightInd/>
        <w:snapToGrid/>
        <w:spacing w:line="560" w:lineRule="exact"/>
        <w:ind w:firstLine="323" w:firstLineChars="100"/>
        <w:jc w:val="left"/>
        <w:textAlignment w:val="auto"/>
        <w:rPr>
          <w:rFonts w:hint="eastAsia" w:ascii="楷体" w:hAnsi="楷体" w:eastAsia="楷体" w:cs="楷体"/>
          <w:b/>
          <w:spacing w:val="8"/>
          <w:sz w:val="30"/>
          <w:szCs w:val="30"/>
          <w:lang w:val="en-US" w:eastAsia="zh-CN"/>
        </w:rPr>
      </w:pPr>
      <w:r>
        <w:rPr>
          <w:rFonts w:hint="eastAsia" w:ascii="楷体" w:hAnsi="楷体" w:eastAsia="楷体" w:cs="楷体"/>
          <w:b/>
          <w:spacing w:val="8"/>
          <w:sz w:val="30"/>
          <w:szCs w:val="30"/>
          <w:lang w:val="en-US" w:eastAsia="zh-CN"/>
        </w:rPr>
        <w:t>专题介绍：</w:t>
      </w:r>
    </w:p>
    <w:p>
      <w:pPr>
        <w:keepNext w:val="0"/>
        <w:keepLines w:val="0"/>
        <w:pageBreakBefore w:val="0"/>
        <w:kinsoku/>
        <w:wordWrap/>
        <w:overflowPunct/>
        <w:topLinePunct w:val="0"/>
        <w:autoSpaceDE/>
        <w:autoSpaceDN/>
        <w:bidi w:val="0"/>
        <w:adjustRightInd/>
        <w:spacing w:line="560" w:lineRule="exact"/>
        <w:ind w:firstLine="646" w:firstLineChars="200"/>
        <w:textAlignment w:val="auto"/>
        <w:rPr>
          <w:rFonts w:hint="eastAsia" w:ascii="仿宋" w:hAnsi="仿宋" w:eastAsia="仿宋" w:cs="仿宋"/>
          <w:bCs/>
          <w:color w:val="auto"/>
          <w:spacing w:val="8"/>
          <w:kern w:val="2"/>
          <w:sz w:val="30"/>
          <w:szCs w:val="30"/>
          <w:lang w:val="en-US" w:eastAsia="zh-CN" w:bidi="ar-SA"/>
        </w:rPr>
      </w:pPr>
      <w:r>
        <w:rPr>
          <w:rFonts w:hint="eastAsia" w:ascii="仿宋" w:hAnsi="仿宋" w:eastAsia="仿宋" w:cs="仿宋"/>
          <w:bCs/>
          <w:color w:val="auto"/>
          <w:spacing w:val="8"/>
          <w:kern w:val="2"/>
          <w:sz w:val="30"/>
          <w:szCs w:val="30"/>
          <w:lang w:val="en-US" w:eastAsia="zh-CN" w:bidi="ar-SA"/>
        </w:rPr>
        <w:t>20世纪90年代以来西方国家在推行新公共管理改革尤其新绩效预算改革中兴起政府成本会计，新绩效预算重要特征之一是以项目成本为衡量。政府成本会计兴起与发展是世纪90年代以来政府会计最重大的发展。2014年12月国务院批转财政部《权责发生制政府综合财务报告制度改革方案》（国发〔2014〕63号）提出“条件成熟时，推行政府成本会计。”</w:t>
      </w:r>
    </w:p>
    <w:p>
      <w:pPr>
        <w:keepNext w:val="0"/>
        <w:keepLines w:val="0"/>
        <w:pageBreakBefore w:val="0"/>
        <w:kinsoku/>
        <w:wordWrap/>
        <w:overflowPunct/>
        <w:topLinePunct w:val="0"/>
        <w:autoSpaceDE/>
        <w:autoSpaceDN/>
        <w:bidi w:val="0"/>
        <w:adjustRightInd/>
        <w:spacing w:line="560" w:lineRule="exact"/>
        <w:ind w:firstLine="646" w:firstLineChars="200"/>
        <w:textAlignment w:val="auto"/>
        <w:rPr>
          <w:rFonts w:hint="eastAsia" w:ascii="仿宋" w:hAnsi="仿宋" w:eastAsia="仿宋" w:cs="仿宋"/>
          <w:bCs/>
          <w:color w:val="auto"/>
          <w:spacing w:val="8"/>
          <w:kern w:val="2"/>
          <w:sz w:val="30"/>
          <w:szCs w:val="30"/>
          <w:lang w:val="en-US" w:eastAsia="zh-CN" w:bidi="ar-SA"/>
        </w:rPr>
      </w:pPr>
      <w:r>
        <w:rPr>
          <w:rFonts w:hint="eastAsia" w:ascii="仿宋" w:hAnsi="仿宋" w:eastAsia="仿宋" w:cs="仿宋"/>
          <w:bCs/>
          <w:color w:val="auto"/>
          <w:spacing w:val="8"/>
          <w:kern w:val="2"/>
          <w:sz w:val="30"/>
          <w:szCs w:val="30"/>
          <w:lang w:val="en-US" w:eastAsia="zh-CN" w:bidi="ar-SA"/>
        </w:rPr>
        <w:t>2019年12月财政部发布《事业单位成本核算基本指引》（财会〔2019〕25号），提供基本遵循依据。2021年11月财政部发布《事业单位成本核算具体指引-公立医院》（财会〔2021〕26号）；2022年10月又发布《事业单位成本核算具体指引-高等学校》（财会〔2022〕26号）和《事业单位成本核算具体指引-科学事业单位》（财会〔2022〕27号）。</w:t>
      </w:r>
    </w:p>
    <w:p>
      <w:pPr>
        <w:keepNext w:val="0"/>
        <w:keepLines w:val="0"/>
        <w:pageBreakBefore w:val="0"/>
        <w:kinsoku/>
        <w:wordWrap/>
        <w:overflowPunct/>
        <w:topLinePunct w:val="0"/>
        <w:autoSpaceDE/>
        <w:autoSpaceDN/>
        <w:bidi w:val="0"/>
        <w:adjustRightInd/>
        <w:spacing w:line="560" w:lineRule="exact"/>
        <w:ind w:firstLine="646" w:firstLineChars="200"/>
        <w:textAlignment w:val="auto"/>
        <w:rPr>
          <w:rFonts w:hint="eastAsia" w:ascii="仿宋" w:hAnsi="仿宋" w:eastAsia="仿宋" w:cs="仿宋"/>
          <w:bCs/>
          <w:color w:val="auto"/>
          <w:spacing w:val="8"/>
          <w:kern w:val="2"/>
          <w:sz w:val="30"/>
          <w:szCs w:val="30"/>
          <w:lang w:val="en-US" w:eastAsia="zh-CN" w:bidi="ar-SA"/>
        </w:rPr>
      </w:pPr>
      <w:r>
        <w:rPr>
          <w:rFonts w:hint="eastAsia" w:ascii="仿宋" w:hAnsi="仿宋" w:eastAsia="仿宋" w:cs="仿宋"/>
          <w:bCs/>
          <w:color w:val="auto"/>
          <w:spacing w:val="8"/>
          <w:kern w:val="2"/>
          <w:sz w:val="30"/>
          <w:szCs w:val="30"/>
          <w:lang w:val="en-US" w:eastAsia="zh-CN" w:bidi="ar-SA"/>
        </w:rPr>
        <w:t>本课程目的是帮助学习者更好地理解我国政府成本会计改革的背景与意义，更好地掌握政府成本会计的基础理论，更好地学习、掌握国内外政府成本会计经典案例，以更好地应对我国政府绩效革命。</w:t>
      </w:r>
    </w:p>
    <w:p>
      <w:pPr>
        <w:keepNext w:val="0"/>
        <w:keepLines w:val="0"/>
        <w:pageBreakBefore w:val="0"/>
        <w:widowControl/>
        <w:numPr>
          <w:ilvl w:val="0"/>
          <w:numId w:val="16"/>
        </w:numPr>
        <w:kinsoku/>
        <w:wordWrap/>
        <w:overflowPunct/>
        <w:topLinePunct w:val="0"/>
        <w:autoSpaceDE/>
        <w:autoSpaceDN/>
        <w:bidi w:val="0"/>
        <w:adjustRightInd/>
        <w:snapToGrid/>
        <w:spacing w:line="560" w:lineRule="exact"/>
        <w:ind w:firstLine="323" w:firstLineChars="100"/>
        <w:jc w:val="left"/>
        <w:textAlignment w:val="auto"/>
        <w:rPr>
          <w:rFonts w:hint="eastAsia" w:ascii="楷体" w:hAnsi="楷体" w:eastAsia="楷体" w:cs="楷体"/>
          <w:b/>
          <w:spacing w:val="8"/>
          <w:sz w:val="30"/>
          <w:szCs w:val="30"/>
          <w:lang w:eastAsia="zh-CN"/>
        </w:rPr>
      </w:pPr>
      <w:r>
        <w:rPr>
          <w:rFonts w:hint="eastAsia" w:ascii="楷体" w:hAnsi="楷体" w:eastAsia="楷体" w:cs="楷体"/>
          <w:b/>
          <w:spacing w:val="8"/>
          <w:sz w:val="30"/>
          <w:szCs w:val="30"/>
          <w:lang w:eastAsia="zh-CN"/>
        </w:rPr>
        <w:t>课程内容：</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sz w:val="30"/>
          <w:szCs w:val="30"/>
        </w:rPr>
      </w:pPr>
      <w:r>
        <w:rPr>
          <w:rStyle w:val="17"/>
          <w:rFonts w:hint="eastAsia" w:ascii="仿宋" w:hAnsi="仿宋" w:eastAsia="仿宋" w:cs="仿宋"/>
          <w:b w:val="0"/>
          <w:bCs/>
          <w:i w:val="0"/>
          <w:caps w:val="0"/>
          <w:color w:val="333333"/>
          <w:spacing w:val="0"/>
          <w:sz w:val="30"/>
          <w:szCs w:val="30"/>
        </w:rPr>
        <w:t>政府治理背景下政府成本会计信息需求</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sz w:val="30"/>
          <w:szCs w:val="30"/>
        </w:rPr>
      </w:pPr>
      <w:r>
        <w:rPr>
          <w:rStyle w:val="17"/>
          <w:rFonts w:hint="eastAsia" w:ascii="仿宋" w:hAnsi="仿宋" w:eastAsia="仿宋" w:cs="仿宋"/>
          <w:b w:val="0"/>
          <w:bCs/>
          <w:i w:val="0"/>
          <w:caps w:val="0"/>
          <w:color w:val="333333"/>
          <w:spacing w:val="0"/>
          <w:sz w:val="30"/>
          <w:szCs w:val="30"/>
        </w:rPr>
        <w:t>新绩效预算与政府成本会计关系</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sz w:val="30"/>
          <w:szCs w:val="30"/>
        </w:rPr>
      </w:pPr>
      <w:r>
        <w:rPr>
          <w:rStyle w:val="17"/>
          <w:rFonts w:hint="eastAsia" w:ascii="仿宋" w:hAnsi="仿宋" w:eastAsia="仿宋" w:cs="仿宋"/>
          <w:b w:val="0"/>
          <w:bCs/>
          <w:i w:val="0"/>
          <w:caps w:val="0"/>
          <w:color w:val="333333"/>
          <w:spacing w:val="0"/>
          <w:sz w:val="30"/>
          <w:szCs w:val="30"/>
        </w:rPr>
        <w:t>政府成本会计核算主要步骤与主要问题</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sz w:val="30"/>
          <w:szCs w:val="30"/>
        </w:rPr>
      </w:pPr>
      <w:r>
        <w:rPr>
          <w:rStyle w:val="17"/>
          <w:rFonts w:hint="eastAsia" w:ascii="仿宋" w:hAnsi="仿宋" w:eastAsia="仿宋" w:cs="仿宋"/>
          <w:b w:val="0"/>
          <w:bCs/>
          <w:i w:val="0"/>
          <w:caps w:val="0"/>
          <w:color w:val="333333"/>
          <w:spacing w:val="0"/>
          <w:sz w:val="30"/>
          <w:szCs w:val="30"/>
        </w:rPr>
        <w:t>《事业单位成本核算基本指引》解析</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sz w:val="30"/>
          <w:szCs w:val="30"/>
        </w:rPr>
      </w:pPr>
      <w:r>
        <w:rPr>
          <w:rStyle w:val="17"/>
          <w:rFonts w:hint="eastAsia" w:ascii="仿宋" w:hAnsi="仿宋" w:eastAsia="仿宋" w:cs="仿宋"/>
          <w:b w:val="0"/>
          <w:bCs/>
          <w:i w:val="0"/>
          <w:caps w:val="0"/>
          <w:color w:val="333333"/>
          <w:spacing w:val="0"/>
          <w:sz w:val="30"/>
          <w:szCs w:val="30"/>
        </w:rPr>
        <w:t>我国事业单位成本核算具体指引解析</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sz w:val="30"/>
          <w:szCs w:val="30"/>
        </w:rPr>
      </w:pPr>
      <w:r>
        <w:rPr>
          <w:rStyle w:val="17"/>
          <w:rFonts w:hint="eastAsia" w:ascii="仿宋" w:hAnsi="仿宋" w:eastAsia="仿宋" w:cs="仿宋"/>
          <w:b w:val="0"/>
          <w:bCs/>
          <w:i w:val="0"/>
          <w:caps w:val="0"/>
          <w:color w:val="333333"/>
          <w:spacing w:val="0"/>
          <w:sz w:val="30"/>
          <w:szCs w:val="30"/>
        </w:rPr>
        <w:t>《事业单位成本核算具体指引-公立医院》重点解析</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sz w:val="30"/>
          <w:szCs w:val="30"/>
        </w:rPr>
      </w:pPr>
      <w:r>
        <w:rPr>
          <w:rStyle w:val="17"/>
          <w:rFonts w:hint="eastAsia" w:ascii="仿宋" w:hAnsi="仿宋" w:eastAsia="仿宋" w:cs="仿宋"/>
          <w:b w:val="0"/>
          <w:bCs/>
          <w:i w:val="0"/>
          <w:caps w:val="0"/>
          <w:color w:val="333333"/>
          <w:spacing w:val="0"/>
          <w:sz w:val="30"/>
          <w:szCs w:val="30"/>
        </w:rPr>
        <w:t>《事业单位成本核算具体指引-高等学校》重点解析</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1272" w:leftChars="199" w:hanging="622" w:hangingChars="203"/>
        <w:jc w:val="left"/>
        <w:textAlignment w:val="auto"/>
        <w:rPr>
          <w:rStyle w:val="17"/>
          <w:rFonts w:hint="eastAsia" w:ascii="仿宋" w:hAnsi="仿宋" w:eastAsia="仿宋" w:cs="仿宋"/>
          <w:b w:val="0"/>
          <w:bCs/>
          <w:i w:val="0"/>
          <w:caps w:val="0"/>
          <w:color w:val="333333"/>
          <w:spacing w:val="0"/>
          <w:sz w:val="30"/>
          <w:szCs w:val="30"/>
        </w:rPr>
      </w:pPr>
      <w:r>
        <w:rPr>
          <w:rStyle w:val="17"/>
          <w:rFonts w:hint="eastAsia" w:ascii="仿宋" w:hAnsi="仿宋" w:eastAsia="仿宋" w:cs="仿宋"/>
          <w:b w:val="0"/>
          <w:bCs/>
          <w:i w:val="0"/>
          <w:caps w:val="0"/>
          <w:color w:val="333333"/>
          <w:spacing w:val="0"/>
          <w:sz w:val="30"/>
          <w:szCs w:val="30"/>
        </w:rPr>
        <w:t>《事业单位成本核算具体指引-科学事业单位》重点解析</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sz w:val="30"/>
          <w:szCs w:val="30"/>
        </w:rPr>
      </w:pPr>
      <w:r>
        <w:rPr>
          <w:rStyle w:val="17"/>
          <w:rFonts w:hint="eastAsia" w:ascii="仿宋" w:hAnsi="仿宋" w:eastAsia="仿宋" w:cs="仿宋"/>
          <w:b w:val="0"/>
          <w:bCs/>
          <w:i w:val="0"/>
          <w:caps w:val="0"/>
          <w:color w:val="333333"/>
          <w:spacing w:val="0"/>
          <w:sz w:val="30"/>
          <w:szCs w:val="30"/>
        </w:rPr>
        <w:t>政府成本控制与成本管理</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sz w:val="30"/>
          <w:szCs w:val="30"/>
        </w:rPr>
      </w:pPr>
      <w:r>
        <w:rPr>
          <w:rStyle w:val="17"/>
          <w:rFonts w:hint="eastAsia" w:ascii="仿宋" w:hAnsi="仿宋" w:eastAsia="仿宋" w:cs="仿宋"/>
          <w:b w:val="0"/>
          <w:bCs/>
          <w:i w:val="0"/>
          <w:caps w:val="0"/>
          <w:color w:val="333333"/>
          <w:spacing w:val="0"/>
          <w:sz w:val="30"/>
          <w:szCs w:val="30"/>
        </w:rPr>
        <w:t>政府成本相关决策与成本效益分析法应用</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sz w:val="30"/>
          <w:szCs w:val="30"/>
        </w:rPr>
      </w:pPr>
      <w:r>
        <w:rPr>
          <w:rStyle w:val="17"/>
          <w:rFonts w:hint="eastAsia" w:ascii="仿宋" w:hAnsi="仿宋" w:eastAsia="仿宋" w:cs="仿宋"/>
          <w:b w:val="0"/>
          <w:bCs/>
          <w:i w:val="0"/>
          <w:caps w:val="0"/>
          <w:color w:val="333333"/>
          <w:spacing w:val="0"/>
          <w:sz w:val="30"/>
          <w:szCs w:val="30"/>
        </w:rPr>
        <w:t>政府成本核算与成本管理实务案例</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sz w:val="30"/>
          <w:szCs w:val="30"/>
          <w:lang w:val="en-US" w:eastAsia="zh-CN"/>
        </w:rPr>
      </w:pPr>
      <w:r>
        <w:rPr>
          <w:rStyle w:val="17"/>
          <w:rFonts w:hint="eastAsia" w:ascii="仿宋" w:hAnsi="仿宋" w:eastAsia="仿宋" w:cs="仿宋"/>
          <w:b w:val="0"/>
          <w:bCs/>
          <w:i w:val="0"/>
          <w:caps w:val="0"/>
          <w:color w:val="333333"/>
          <w:spacing w:val="0"/>
          <w:sz w:val="30"/>
          <w:szCs w:val="30"/>
        </w:rPr>
        <w:t>政府成本会计面临挑战与应对</w:t>
      </w:r>
    </w:p>
    <w:p>
      <w:pPr>
        <w:keepNext w:val="0"/>
        <w:keepLines w:val="0"/>
        <w:pageBreakBefore w:val="0"/>
        <w:kinsoku/>
        <w:wordWrap/>
        <w:overflowPunct/>
        <w:topLinePunct w:val="0"/>
        <w:autoSpaceDE/>
        <w:autoSpaceDN/>
        <w:bidi w:val="0"/>
        <w:adjustRightInd/>
        <w:spacing w:line="560" w:lineRule="exact"/>
        <w:textAlignment w:val="auto"/>
        <w:rPr>
          <w:rFonts w:hint="eastAsia" w:ascii="黑体" w:hAnsi="黑体" w:eastAsia="黑体" w:cs="黑体"/>
          <w:b/>
          <w:bCs/>
          <w:sz w:val="30"/>
          <w:szCs w:val="30"/>
        </w:rPr>
      </w:pPr>
      <w:r>
        <w:rPr>
          <w:rFonts w:hint="eastAsia" w:ascii="黑体" w:hAnsi="黑体" w:eastAsia="黑体" w:cs="黑体"/>
          <w:b/>
          <w:bCs/>
          <w:sz w:val="30"/>
          <w:szCs w:val="30"/>
          <w:lang w:val="en-US" w:eastAsia="zh-CN"/>
        </w:rPr>
        <w:t>专题十五：《财政总会计制度》讲解与操作实务</w:t>
      </w:r>
    </w:p>
    <w:p>
      <w:pPr>
        <w:keepNext w:val="0"/>
        <w:keepLines w:val="0"/>
        <w:pageBreakBefore w:val="0"/>
        <w:widowControl/>
        <w:numPr>
          <w:ilvl w:val="0"/>
          <w:numId w:val="17"/>
        </w:numPr>
        <w:kinsoku/>
        <w:wordWrap/>
        <w:overflowPunct/>
        <w:topLinePunct w:val="0"/>
        <w:autoSpaceDE/>
        <w:autoSpaceDN/>
        <w:bidi w:val="0"/>
        <w:adjustRightInd/>
        <w:snapToGrid/>
        <w:spacing w:line="560" w:lineRule="exact"/>
        <w:ind w:left="4" w:leftChars="0" w:firstLine="323" w:firstLineChars="0"/>
        <w:jc w:val="left"/>
        <w:textAlignment w:val="auto"/>
        <w:rPr>
          <w:rFonts w:hint="eastAsia" w:ascii="楷体" w:hAnsi="楷体" w:eastAsia="楷体" w:cs="楷体"/>
          <w:b/>
          <w:spacing w:val="8"/>
          <w:sz w:val="30"/>
          <w:szCs w:val="30"/>
          <w:lang w:val="en-US" w:eastAsia="zh-CN"/>
        </w:rPr>
      </w:pPr>
      <w:r>
        <w:rPr>
          <w:rFonts w:hint="eastAsia" w:ascii="楷体" w:hAnsi="楷体" w:eastAsia="楷体" w:cs="楷体"/>
          <w:b/>
          <w:spacing w:val="8"/>
          <w:sz w:val="30"/>
          <w:szCs w:val="30"/>
          <w:lang w:val="en-US" w:eastAsia="zh-CN"/>
        </w:rPr>
        <w:t>专题介绍：</w:t>
      </w:r>
    </w:p>
    <w:p>
      <w:pPr>
        <w:pStyle w:val="12"/>
        <w:keepNext w:val="0"/>
        <w:keepLines w:val="0"/>
        <w:pageBreakBefore w:val="0"/>
        <w:widowControl/>
        <w:suppressLineNumbers w:val="0"/>
        <w:shd w:val="clear" w:fill="FFFFFF"/>
        <w:kinsoku/>
        <w:wordWrap/>
        <w:overflowPunct/>
        <w:topLinePunct w:val="0"/>
        <w:autoSpaceDE/>
        <w:autoSpaceDN/>
        <w:bidi w:val="0"/>
        <w:adjustRightInd/>
        <w:spacing w:before="0" w:beforeAutospacing="0" w:after="0" w:afterAutospacing="0" w:line="560" w:lineRule="exact"/>
        <w:ind w:right="0" w:firstLine="646" w:firstLineChars="200"/>
        <w:textAlignment w:val="auto"/>
        <w:rPr>
          <w:rFonts w:hint="eastAsia" w:ascii="仿宋" w:hAnsi="仿宋" w:eastAsia="仿宋" w:cs="仿宋"/>
          <w:bCs/>
          <w:color w:val="auto"/>
          <w:spacing w:val="8"/>
          <w:kern w:val="2"/>
          <w:sz w:val="30"/>
          <w:szCs w:val="30"/>
          <w:lang w:val="en-US" w:eastAsia="zh-CN" w:bidi="ar-SA"/>
        </w:rPr>
      </w:pPr>
      <w:r>
        <w:rPr>
          <w:rFonts w:hint="eastAsia" w:ascii="仿宋" w:hAnsi="仿宋" w:eastAsia="仿宋" w:cs="仿宋"/>
          <w:bCs/>
          <w:color w:val="auto"/>
          <w:spacing w:val="8"/>
          <w:kern w:val="2"/>
          <w:sz w:val="30"/>
          <w:szCs w:val="30"/>
          <w:lang w:val="en-US" w:eastAsia="zh-CN" w:bidi="ar-SA"/>
        </w:rPr>
        <w:t>党的二十大报告提出，“健全现代预算制度”。总会计是支撑现代财政制度建设的重要基础，是实现国家治理体现和治理能力现代化的重要工具。为建立健全以权责发生制为基础的总会计的财务管理功能，全面、准确反映政府财政财务情况，历时4年修订，财政部于近期发布了《财政总会计制度》，该制度是编制分析决算报告和财务报告，强化资产负债管理、防范财政风险的重要制度依据，自2023年1月1日起施行。为帮助各单位相关人员尽快掌握相关内容，提升会计核算和报告编制质量。</w:t>
      </w:r>
    </w:p>
    <w:p>
      <w:pPr>
        <w:keepNext w:val="0"/>
        <w:keepLines w:val="0"/>
        <w:pageBreakBefore w:val="0"/>
        <w:widowControl/>
        <w:numPr>
          <w:ilvl w:val="0"/>
          <w:numId w:val="17"/>
        </w:numPr>
        <w:kinsoku/>
        <w:wordWrap/>
        <w:overflowPunct/>
        <w:topLinePunct w:val="0"/>
        <w:autoSpaceDE/>
        <w:autoSpaceDN/>
        <w:bidi w:val="0"/>
        <w:adjustRightInd/>
        <w:snapToGrid/>
        <w:spacing w:line="560" w:lineRule="exact"/>
        <w:ind w:left="4" w:leftChars="0" w:firstLine="323" w:firstLineChars="0"/>
        <w:jc w:val="left"/>
        <w:textAlignment w:val="auto"/>
        <w:rPr>
          <w:rFonts w:hint="eastAsia" w:ascii="楷体" w:hAnsi="楷体" w:eastAsia="楷体" w:cs="楷体"/>
          <w:b/>
          <w:spacing w:val="8"/>
          <w:sz w:val="30"/>
          <w:szCs w:val="30"/>
          <w:lang w:eastAsia="zh-CN"/>
        </w:rPr>
      </w:pPr>
      <w:r>
        <w:rPr>
          <w:rFonts w:hint="eastAsia" w:ascii="楷体" w:hAnsi="楷体" w:eastAsia="楷体" w:cs="楷体"/>
          <w:b/>
          <w:spacing w:val="8"/>
          <w:sz w:val="30"/>
          <w:szCs w:val="30"/>
          <w:lang w:eastAsia="zh-CN"/>
        </w:rPr>
        <w:t>课程内容：</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sz w:val="30"/>
          <w:szCs w:val="30"/>
        </w:rPr>
      </w:pPr>
      <w:r>
        <w:rPr>
          <w:rStyle w:val="17"/>
          <w:rFonts w:hint="eastAsia" w:ascii="仿宋" w:hAnsi="仿宋" w:eastAsia="仿宋" w:cs="仿宋"/>
          <w:b w:val="0"/>
          <w:bCs/>
          <w:i w:val="0"/>
          <w:caps w:val="0"/>
          <w:color w:val="333333"/>
          <w:spacing w:val="0"/>
          <w:sz w:val="30"/>
          <w:szCs w:val="30"/>
        </w:rPr>
        <w:t>财政总会计制度改革背景、主要内容</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sz w:val="30"/>
          <w:szCs w:val="30"/>
        </w:rPr>
      </w:pPr>
      <w:r>
        <w:rPr>
          <w:rStyle w:val="17"/>
          <w:rFonts w:hint="eastAsia" w:ascii="仿宋" w:hAnsi="仿宋" w:eastAsia="仿宋" w:cs="仿宋"/>
          <w:b w:val="0"/>
          <w:bCs/>
          <w:i w:val="0"/>
          <w:caps w:val="0"/>
          <w:color w:val="333333"/>
          <w:spacing w:val="0"/>
          <w:sz w:val="30"/>
          <w:szCs w:val="30"/>
        </w:rPr>
        <w:t>《财政总会计制度》体系及会计要素</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sz w:val="30"/>
          <w:szCs w:val="30"/>
        </w:rPr>
      </w:pPr>
      <w:r>
        <w:rPr>
          <w:rStyle w:val="17"/>
          <w:rFonts w:hint="eastAsia" w:ascii="仿宋" w:hAnsi="仿宋" w:eastAsia="仿宋" w:cs="仿宋"/>
          <w:b w:val="0"/>
          <w:bCs/>
          <w:i w:val="0"/>
          <w:caps w:val="0"/>
          <w:color w:val="333333"/>
          <w:spacing w:val="0"/>
          <w:sz w:val="30"/>
          <w:szCs w:val="30"/>
        </w:rPr>
        <w:t>《财政总会计制度》核算目标、会计要素</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sz w:val="30"/>
          <w:szCs w:val="30"/>
        </w:rPr>
      </w:pPr>
      <w:r>
        <w:rPr>
          <w:rStyle w:val="17"/>
          <w:rFonts w:hint="eastAsia" w:ascii="仿宋" w:hAnsi="仿宋" w:eastAsia="仿宋" w:cs="仿宋"/>
          <w:b w:val="0"/>
          <w:bCs/>
          <w:i w:val="0"/>
          <w:caps w:val="0"/>
          <w:color w:val="333333"/>
          <w:spacing w:val="0"/>
          <w:sz w:val="30"/>
          <w:szCs w:val="30"/>
        </w:rPr>
        <w:t>财政总会计科目设置及核算范围要点</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sz w:val="30"/>
          <w:szCs w:val="30"/>
        </w:rPr>
      </w:pPr>
      <w:r>
        <w:rPr>
          <w:rStyle w:val="17"/>
          <w:rFonts w:hint="eastAsia" w:ascii="仿宋" w:hAnsi="仿宋" w:eastAsia="仿宋" w:cs="仿宋"/>
          <w:b w:val="0"/>
          <w:bCs/>
          <w:i w:val="0"/>
          <w:caps w:val="0"/>
          <w:color w:val="333333"/>
          <w:spacing w:val="0"/>
          <w:sz w:val="30"/>
          <w:szCs w:val="30"/>
        </w:rPr>
        <w:t>财政总会计结账和结算要求</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sz w:val="30"/>
          <w:szCs w:val="30"/>
        </w:rPr>
      </w:pPr>
      <w:r>
        <w:rPr>
          <w:rStyle w:val="17"/>
          <w:rFonts w:hint="eastAsia" w:ascii="仿宋" w:hAnsi="仿宋" w:eastAsia="仿宋" w:cs="仿宋"/>
          <w:b w:val="0"/>
          <w:bCs/>
          <w:i w:val="0"/>
          <w:caps w:val="0"/>
          <w:color w:val="333333"/>
          <w:spacing w:val="0"/>
          <w:sz w:val="30"/>
          <w:szCs w:val="30"/>
        </w:rPr>
        <w:t>财政总会计报表编制程序与方法与</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sz w:val="30"/>
          <w:szCs w:val="30"/>
        </w:rPr>
      </w:pPr>
      <w:r>
        <w:rPr>
          <w:rStyle w:val="17"/>
          <w:rFonts w:hint="eastAsia" w:ascii="仿宋" w:hAnsi="仿宋" w:eastAsia="仿宋" w:cs="仿宋"/>
          <w:b w:val="0"/>
          <w:bCs/>
          <w:i w:val="0"/>
          <w:caps w:val="0"/>
          <w:color w:val="333333"/>
          <w:spacing w:val="0"/>
          <w:sz w:val="30"/>
          <w:szCs w:val="30"/>
        </w:rPr>
        <w:t>财政总会计新旧衔接的要求及操作</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sz w:val="30"/>
          <w:szCs w:val="30"/>
        </w:rPr>
      </w:pPr>
      <w:r>
        <w:rPr>
          <w:rStyle w:val="17"/>
          <w:rFonts w:hint="eastAsia" w:ascii="仿宋" w:hAnsi="仿宋" w:eastAsia="仿宋" w:cs="仿宋"/>
          <w:b w:val="0"/>
          <w:bCs/>
          <w:i w:val="0"/>
          <w:caps w:val="0"/>
          <w:color w:val="333333"/>
          <w:spacing w:val="0"/>
          <w:sz w:val="30"/>
          <w:szCs w:val="30"/>
        </w:rPr>
        <w:t>预算会计科目的新旧衔接</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sz w:val="30"/>
          <w:szCs w:val="30"/>
        </w:rPr>
      </w:pPr>
      <w:r>
        <w:rPr>
          <w:rStyle w:val="17"/>
          <w:rFonts w:hint="eastAsia" w:ascii="仿宋" w:hAnsi="仿宋" w:eastAsia="仿宋" w:cs="仿宋"/>
          <w:b w:val="0"/>
          <w:bCs/>
          <w:i w:val="0"/>
          <w:caps w:val="0"/>
          <w:color w:val="333333"/>
          <w:spacing w:val="0"/>
          <w:sz w:val="30"/>
          <w:szCs w:val="30"/>
        </w:rPr>
        <w:t>财务会计科目的新旧衔接</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sz w:val="30"/>
          <w:szCs w:val="30"/>
          <w:lang w:val="en-US" w:eastAsia="zh-CN"/>
        </w:rPr>
      </w:pPr>
      <w:r>
        <w:rPr>
          <w:rStyle w:val="17"/>
          <w:rFonts w:hint="eastAsia" w:ascii="仿宋" w:hAnsi="仿宋" w:eastAsia="仿宋" w:cs="仿宋"/>
          <w:b w:val="0"/>
          <w:bCs/>
          <w:i w:val="0"/>
          <w:caps w:val="0"/>
          <w:color w:val="333333"/>
          <w:spacing w:val="0"/>
          <w:sz w:val="30"/>
          <w:szCs w:val="30"/>
        </w:rPr>
        <w:t>财务会计报表与预算会计报表的新旧衔接方法步骤</w:t>
      </w:r>
    </w:p>
    <w:p>
      <w:pPr>
        <w:keepNext w:val="0"/>
        <w:keepLines w:val="0"/>
        <w:pageBreakBefore w:val="0"/>
        <w:kinsoku/>
        <w:wordWrap/>
        <w:overflowPunct/>
        <w:topLinePunct w:val="0"/>
        <w:autoSpaceDE/>
        <w:autoSpaceDN/>
        <w:bidi w:val="0"/>
        <w:adjustRightInd/>
        <w:spacing w:line="560" w:lineRule="exact"/>
        <w:textAlignment w:val="auto"/>
        <w:rPr>
          <w:rFonts w:hint="default" w:ascii="黑体" w:hAnsi="黑体" w:eastAsia="黑体" w:cs="黑体"/>
          <w:b/>
          <w:bCs/>
          <w:sz w:val="30"/>
          <w:szCs w:val="30"/>
          <w:lang w:eastAsia="zh-CN"/>
        </w:rPr>
      </w:pPr>
      <w:r>
        <w:rPr>
          <w:rFonts w:hint="eastAsia" w:ascii="黑体" w:hAnsi="黑体" w:eastAsia="黑体" w:cs="黑体"/>
          <w:b/>
          <w:bCs/>
          <w:sz w:val="30"/>
          <w:szCs w:val="30"/>
          <w:lang w:val="en-US" w:eastAsia="zh-CN"/>
        </w:rPr>
        <w:t>专题十</w:t>
      </w:r>
      <w:r>
        <w:rPr>
          <w:rFonts w:hint="default" w:ascii="黑体" w:hAnsi="黑体" w:eastAsia="黑体" w:cs="黑体"/>
          <w:b/>
          <w:bCs/>
          <w:sz w:val="30"/>
          <w:szCs w:val="30"/>
          <w:lang w:eastAsia="zh-CN"/>
        </w:rPr>
        <w:t>六</w:t>
      </w:r>
      <w:r>
        <w:rPr>
          <w:rFonts w:hint="eastAsia" w:ascii="黑体" w:hAnsi="黑体" w:eastAsia="黑体" w:cs="黑体"/>
          <w:b/>
          <w:bCs/>
          <w:sz w:val="30"/>
          <w:szCs w:val="30"/>
          <w:lang w:val="en-US" w:eastAsia="zh-CN"/>
        </w:rPr>
        <w:t>：</w:t>
      </w:r>
      <w:r>
        <w:rPr>
          <w:rFonts w:hint="default" w:ascii="黑体" w:hAnsi="黑体" w:eastAsia="黑体" w:cs="黑体"/>
          <w:b/>
          <w:bCs/>
          <w:sz w:val="30"/>
          <w:szCs w:val="30"/>
          <w:lang w:eastAsia="zh-CN"/>
        </w:rPr>
        <w:t>《行政单位财务规则》讲解与操作实务</w:t>
      </w:r>
    </w:p>
    <w:p>
      <w:pPr>
        <w:keepNext w:val="0"/>
        <w:keepLines w:val="0"/>
        <w:pageBreakBefore w:val="0"/>
        <w:kinsoku/>
        <w:wordWrap/>
        <w:overflowPunct/>
        <w:topLinePunct w:val="0"/>
        <w:autoSpaceDE/>
        <w:autoSpaceDN/>
        <w:bidi w:val="0"/>
        <w:adjustRightInd/>
        <w:spacing w:line="560" w:lineRule="exact"/>
        <w:textAlignment w:val="auto"/>
        <w:rPr>
          <w:rFonts w:hint="default" w:ascii="楷体" w:hAnsi="楷体" w:eastAsia="楷体" w:cs="楷体"/>
          <w:b/>
          <w:spacing w:val="8"/>
          <w:sz w:val="30"/>
          <w:szCs w:val="30"/>
          <w:lang w:eastAsia="zh-CN"/>
        </w:rPr>
      </w:pPr>
      <w:r>
        <w:rPr>
          <w:rFonts w:hint="default" w:ascii="黑体" w:hAnsi="黑体" w:eastAsia="黑体" w:cs="黑体"/>
          <w:b/>
          <w:bCs/>
          <w:sz w:val="30"/>
          <w:szCs w:val="30"/>
          <w:lang w:eastAsia="zh-CN"/>
        </w:rPr>
        <w:t xml:space="preserve">  （</w:t>
      </w:r>
      <w:r>
        <w:rPr>
          <w:rFonts w:hint="default" w:ascii="楷体" w:hAnsi="楷体" w:eastAsia="楷体" w:cs="楷体"/>
          <w:b/>
          <w:spacing w:val="8"/>
          <w:sz w:val="30"/>
          <w:szCs w:val="30"/>
          <w:lang w:eastAsia="zh-CN"/>
        </w:rPr>
        <w:t>一）专题介绍：</w:t>
      </w:r>
    </w:p>
    <w:p>
      <w:pPr>
        <w:keepNext w:val="0"/>
        <w:keepLines w:val="0"/>
        <w:pageBreakBefore w:val="0"/>
        <w:kinsoku/>
        <w:wordWrap/>
        <w:overflowPunct/>
        <w:topLinePunct w:val="0"/>
        <w:autoSpaceDE/>
        <w:autoSpaceDN/>
        <w:bidi w:val="0"/>
        <w:adjustRightInd/>
        <w:spacing w:line="560" w:lineRule="exact"/>
        <w:ind w:firstLine="587"/>
        <w:textAlignment w:val="auto"/>
        <w:rPr>
          <w:rFonts w:hint="eastAsia" w:ascii="仿宋" w:hAnsi="仿宋" w:eastAsia="仿宋" w:cs="仿宋"/>
          <w:bCs/>
          <w:color w:val="auto"/>
          <w:spacing w:val="8"/>
          <w:kern w:val="2"/>
          <w:sz w:val="30"/>
          <w:szCs w:val="30"/>
          <w:lang w:val="en-US" w:eastAsia="zh-CN" w:bidi="ar-SA"/>
        </w:rPr>
      </w:pPr>
      <w:r>
        <w:rPr>
          <w:rFonts w:hint="eastAsia" w:ascii="仿宋" w:hAnsi="仿宋" w:eastAsia="仿宋" w:cs="仿宋"/>
          <w:bCs/>
          <w:color w:val="auto"/>
          <w:spacing w:val="8"/>
          <w:kern w:val="2"/>
          <w:sz w:val="30"/>
          <w:szCs w:val="30"/>
          <w:lang w:val="en-US" w:eastAsia="zh-CN" w:bidi="ar-SA"/>
        </w:rPr>
        <w:t>《行政单位财务规则》（财政部令第71号，以下简称71号令）自2013年1月1日施行以来，在规范行政单位财务行为，加强行政单位财务管理和监督等方面，发挥了重要作用。近年来，随着我国国家治理体系和治理能力现代化不断推进，预算管理、国有资产管理、政府综合财务报告等财政改革持续深化，对行政单位财务管理和监督工作提出了新的更高要求。为与相关要求衔接、更好满足实际工作需要，有必要对71号令部分内容进行修订，形成了《行政单位财务规则》（财政部令第113号，以下简称《规则》），于2023年3月1日起施行</w:t>
      </w:r>
      <w:r>
        <w:rPr>
          <w:rFonts w:hint="eastAsia" w:ascii="仿宋" w:hAnsi="仿宋" w:cs="仿宋"/>
          <w:bCs/>
          <w:color w:val="auto"/>
          <w:spacing w:val="8"/>
          <w:kern w:val="2"/>
          <w:sz w:val="30"/>
          <w:szCs w:val="30"/>
          <w:lang w:val="en-US" w:eastAsia="zh-CN" w:bidi="ar-SA"/>
        </w:rPr>
        <w:t>。</w:t>
      </w:r>
      <w:r>
        <w:rPr>
          <w:rFonts w:hint="eastAsia" w:ascii="仿宋" w:hAnsi="仿宋" w:eastAsia="仿宋" w:cs="仿宋"/>
          <w:bCs/>
          <w:color w:val="auto"/>
          <w:spacing w:val="8"/>
          <w:kern w:val="2"/>
          <w:sz w:val="30"/>
          <w:szCs w:val="30"/>
          <w:lang w:val="en-US" w:eastAsia="zh-CN" w:bidi="ar-SA"/>
        </w:rPr>
        <w:t>《规则》修订积极贯彻落实党中央、国务院关于加强财会监督、严肃财经纪律的决策部署，充分反映财政改革发展成果，衔接细化预算编制、推进绩效管理、加强财务监督、编制政府综合财务报告、完善国有资产管理等方面的新要求，将对完善行政单位财务制度，提高行政单位财务管理水平，防范行政单位财务风险发挥积极作用。</w:t>
      </w:r>
    </w:p>
    <w:p>
      <w:pPr>
        <w:keepNext w:val="0"/>
        <w:keepLines w:val="0"/>
        <w:pageBreakBefore w:val="0"/>
        <w:kinsoku/>
        <w:wordWrap/>
        <w:overflowPunct/>
        <w:topLinePunct w:val="0"/>
        <w:autoSpaceDE/>
        <w:autoSpaceDN/>
        <w:bidi w:val="0"/>
        <w:adjustRightInd/>
        <w:spacing w:line="560" w:lineRule="exact"/>
        <w:textAlignment w:val="auto"/>
        <w:rPr>
          <w:rFonts w:hint="default" w:ascii="楷体" w:hAnsi="楷体" w:eastAsia="楷体" w:cs="楷体"/>
          <w:b/>
          <w:spacing w:val="8"/>
          <w:sz w:val="30"/>
          <w:szCs w:val="30"/>
          <w:lang w:eastAsia="zh-CN"/>
        </w:rPr>
      </w:pPr>
      <w:r>
        <w:rPr>
          <w:rFonts w:hint="default" w:ascii="楷体" w:hAnsi="楷体" w:eastAsia="楷体" w:cs="楷体"/>
          <w:b/>
          <w:spacing w:val="8"/>
          <w:sz w:val="30"/>
          <w:szCs w:val="30"/>
          <w:lang w:eastAsia="zh-CN"/>
        </w:rPr>
        <w:t xml:space="preserve">  </w:t>
      </w:r>
      <w:r>
        <w:rPr>
          <w:rFonts w:hint="eastAsia" w:ascii="楷体" w:hAnsi="楷体" w:eastAsia="楷体" w:cs="楷体"/>
          <w:b/>
          <w:spacing w:val="8"/>
          <w:sz w:val="30"/>
          <w:szCs w:val="30"/>
          <w:lang w:eastAsia="zh-CN"/>
        </w:rPr>
        <w:t>（</w:t>
      </w:r>
      <w:r>
        <w:rPr>
          <w:rFonts w:hint="default" w:ascii="楷体" w:hAnsi="楷体" w:eastAsia="楷体" w:cs="楷体"/>
          <w:b/>
          <w:spacing w:val="8"/>
          <w:sz w:val="30"/>
          <w:szCs w:val="30"/>
          <w:lang w:eastAsia="zh-CN"/>
        </w:rPr>
        <w:t>二</w:t>
      </w:r>
      <w:r>
        <w:rPr>
          <w:rFonts w:hint="eastAsia" w:ascii="楷体" w:hAnsi="楷体" w:eastAsia="楷体" w:cs="楷体"/>
          <w:b/>
          <w:spacing w:val="8"/>
          <w:sz w:val="30"/>
          <w:szCs w:val="30"/>
          <w:lang w:val="en-US" w:eastAsia="zh-CN"/>
        </w:rPr>
        <w:t>）</w:t>
      </w:r>
      <w:r>
        <w:rPr>
          <w:rFonts w:hint="default" w:ascii="楷体" w:hAnsi="楷体" w:eastAsia="楷体" w:cs="楷体"/>
          <w:b/>
          <w:spacing w:val="8"/>
          <w:sz w:val="30"/>
          <w:szCs w:val="30"/>
          <w:lang w:eastAsia="zh-CN"/>
        </w:rPr>
        <w:t>课程内容</w:t>
      </w:r>
      <w:r>
        <w:rPr>
          <w:rFonts w:hint="eastAsia" w:ascii="楷体" w:hAnsi="楷体" w:eastAsia="楷体" w:cs="楷体"/>
          <w:b/>
          <w:spacing w:val="8"/>
          <w:sz w:val="30"/>
          <w:szCs w:val="30"/>
          <w:lang w:eastAsia="zh-CN"/>
        </w:rPr>
        <w:t>：</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sz w:val="30"/>
          <w:szCs w:val="30"/>
        </w:rPr>
      </w:pPr>
      <w:r>
        <w:rPr>
          <w:rStyle w:val="17"/>
          <w:rFonts w:hint="default" w:ascii="仿宋" w:hAnsi="仿宋" w:eastAsia="仿宋" w:cs="仿宋"/>
          <w:b w:val="0"/>
          <w:bCs/>
          <w:i w:val="0"/>
          <w:caps w:val="0"/>
          <w:color w:val="333333"/>
          <w:spacing w:val="0"/>
          <w:sz w:val="30"/>
          <w:szCs w:val="30"/>
        </w:rPr>
        <w:t>行政单位</w:t>
      </w:r>
      <w:r>
        <w:rPr>
          <w:rStyle w:val="17"/>
          <w:rFonts w:hint="eastAsia" w:ascii="仿宋" w:hAnsi="仿宋" w:eastAsia="仿宋" w:cs="仿宋"/>
          <w:b w:val="0"/>
          <w:bCs/>
          <w:i w:val="0"/>
          <w:caps w:val="0"/>
          <w:color w:val="333333"/>
          <w:spacing w:val="0"/>
          <w:sz w:val="30"/>
          <w:szCs w:val="30"/>
        </w:rPr>
        <w:t>单位预算管理</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default" w:ascii="仿宋" w:hAnsi="仿宋" w:eastAsia="仿宋" w:cs="仿宋"/>
          <w:b w:val="0"/>
          <w:bCs/>
          <w:i w:val="0"/>
          <w:caps w:val="0"/>
          <w:color w:val="333333"/>
          <w:spacing w:val="0"/>
          <w:sz w:val="30"/>
          <w:szCs w:val="30"/>
        </w:rPr>
      </w:pPr>
      <w:r>
        <w:rPr>
          <w:rStyle w:val="17"/>
          <w:rFonts w:hint="default" w:ascii="仿宋" w:hAnsi="仿宋" w:eastAsia="仿宋" w:cs="仿宋"/>
          <w:b w:val="0"/>
          <w:bCs/>
          <w:i w:val="0"/>
          <w:caps w:val="0"/>
          <w:color w:val="333333"/>
          <w:spacing w:val="0"/>
          <w:sz w:val="30"/>
          <w:szCs w:val="30"/>
        </w:rPr>
        <w:t>行政单位收入管理</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default" w:ascii="仿宋" w:hAnsi="仿宋" w:eastAsia="仿宋" w:cs="仿宋"/>
          <w:b w:val="0"/>
          <w:bCs/>
          <w:i w:val="0"/>
          <w:caps w:val="0"/>
          <w:color w:val="333333"/>
          <w:spacing w:val="0"/>
          <w:sz w:val="30"/>
          <w:szCs w:val="30"/>
        </w:rPr>
      </w:pPr>
      <w:r>
        <w:rPr>
          <w:rStyle w:val="17"/>
          <w:rFonts w:hint="default" w:ascii="仿宋" w:hAnsi="仿宋" w:eastAsia="仿宋" w:cs="仿宋"/>
          <w:b w:val="0"/>
          <w:bCs/>
          <w:i w:val="0"/>
          <w:caps w:val="0"/>
          <w:color w:val="333333"/>
          <w:spacing w:val="0"/>
          <w:sz w:val="30"/>
          <w:szCs w:val="30"/>
        </w:rPr>
        <w:t>行政单位支出管理</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sz w:val="30"/>
          <w:szCs w:val="30"/>
        </w:rPr>
      </w:pPr>
      <w:r>
        <w:rPr>
          <w:rStyle w:val="17"/>
          <w:rFonts w:hint="default" w:ascii="仿宋" w:hAnsi="仿宋" w:eastAsia="仿宋" w:cs="仿宋"/>
          <w:b w:val="0"/>
          <w:bCs/>
          <w:i w:val="0"/>
          <w:caps w:val="0"/>
          <w:color w:val="333333"/>
          <w:spacing w:val="0"/>
          <w:sz w:val="30"/>
          <w:szCs w:val="30"/>
        </w:rPr>
        <w:t>行政单位</w:t>
      </w:r>
      <w:r>
        <w:rPr>
          <w:rStyle w:val="17"/>
          <w:rFonts w:hint="eastAsia" w:ascii="仿宋" w:hAnsi="仿宋" w:eastAsia="仿宋" w:cs="仿宋"/>
          <w:b w:val="0"/>
          <w:bCs/>
          <w:i w:val="0"/>
          <w:caps w:val="0"/>
          <w:color w:val="333333"/>
          <w:spacing w:val="0"/>
          <w:sz w:val="30"/>
          <w:szCs w:val="30"/>
        </w:rPr>
        <w:t>结转和结余管理</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default" w:ascii="仿宋" w:hAnsi="仿宋" w:eastAsia="仿宋" w:cs="仿宋"/>
          <w:b w:val="0"/>
          <w:bCs/>
          <w:i w:val="0"/>
          <w:caps w:val="0"/>
          <w:color w:val="333333"/>
          <w:spacing w:val="0"/>
          <w:sz w:val="30"/>
          <w:szCs w:val="30"/>
        </w:rPr>
      </w:pPr>
      <w:r>
        <w:rPr>
          <w:rStyle w:val="17"/>
          <w:rFonts w:hint="default" w:ascii="仿宋" w:hAnsi="仿宋" w:eastAsia="仿宋" w:cs="仿宋"/>
          <w:b w:val="0"/>
          <w:bCs/>
          <w:i w:val="0"/>
          <w:caps w:val="0"/>
          <w:color w:val="333333"/>
          <w:spacing w:val="0"/>
          <w:sz w:val="30"/>
          <w:szCs w:val="30"/>
        </w:rPr>
        <w:t>行政单位资产管理</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default" w:ascii="仿宋" w:hAnsi="仿宋" w:eastAsia="仿宋" w:cs="仿宋"/>
          <w:b w:val="0"/>
          <w:bCs/>
          <w:i w:val="0"/>
          <w:caps w:val="0"/>
          <w:color w:val="333333"/>
          <w:spacing w:val="0"/>
          <w:sz w:val="30"/>
          <w:szCs w:val="30"/>
        </w:rPr>
      </w:pPr>
      <w:r>
        <w:rPr>
          <w:rStyle w:val="17"/>
          <w:rFonts w:hint="default" w:ascii="仿宋" w:hAnsi="仿宋" w:eastAsia="仿宋" w:cs="仿宋"/>
          <w:b w:val="0"/>
          <w:bCs/>
          <w:i w:val="0"/>
          <w:caps w:val="0"/>
          <w:color w:val="333333"/>
          <w:spacing w:val="0"/>
          <w:sz w:val="30"/>
          <w:szCs w:val="30"/>
        </w:rPr>
        <w:t>行政单位负债管理</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sz w:val="30"/>
          <w:szCs w:val="30"/>
        </w:rPr>
      </w:pPr>
      <w:r>
        <w:rPr>
          <w:rStyle w:val="17"/>
          <w:rFonts w:hint="default" w:ascii="仿宋" w:hAnsi="仿宋" w:eastAsia="仿宋" w:cs="仿宋"/>
          <w:b w:val="0"/>
          <w:bCs/>
          <w:i w:val="0"/>
          <w:caps w:val="0"/>
          <w:color w:val="333333"/>
          <w:spacing w:val="0"/>
          <w:sz w:val="30"/>
          <w:szCs w:val="30"/>
        </w:rPr>
        <w:t>行政单位</w:t>
      </w:r>
      <w:r>
        <w:rPr>
          <w:rStyle w:val="17"/>
          <w:rFonts w:hint="eastAsia" w:ascii="仿宋" w:hAnsi="仿宋" w:eastAsia="仿宋" w:cs="仿宋"/>
          <w:b w:val="0"/>
          <w:bCs/>
          <w:i w:val="0"/>
          <w:caps w:val="0"/>
          <w:color w:val="333333"/>
          <w:spacing w:val="0"/>
          <w:sz w:val="30"/>
          <w:szCs w:val="30"/>
        </w:rPr>
        <w:t>行政单位划转撤并的财务处理</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eastAsia" w:ascii="仿宋" w:hAnsi="仿宋" w:eastAsia="仿宋" w:cs="仿宋"/>
          <w:b w:val="0"/>
          <w:bCs/>
          <w:i w:val="0"/>
          <w:caps w:val="0"/>
          <w:color w:val="333333"/>
          <w:spacing w:val="0"/>
          <w:sz w:val="30"/>
          <w:szCs w:val="30"/>
        </w:rPr>
      </w:pPr>
      <w:r>
        <w:rPr>
          <w:rStyle w:val="17"/>
          <w:rFonts w:hint="default" w:ascii="仿宋" w:hAnsi="仿宋" w:eastAsia="仿宋" w:cs="仿宋"/>
          <w:b w:val="0"/>
          <w:bCs/>
          <w:i w:val="0"/>
          <w:caps w:val="0"/>
          <w:color w:val="333333"/>
          <w:spacing w:val="0"/>
          <w:sz w:val="30"/>
          <w:szCs w:val="30"/>
        </w:rPr>
        <w:t>行政单位</w:t>
      </w:r>
      <w:r>
        <w:rPr>
          <w:rStyle w:val="17"/>
          <w:rFonts w:hint="eastAsia" w:ascii="仿宋" w:hAnsi="仿宋" w:eastAsia="仿宋" w:cs="仿宋"/>
          <w:b w:val="0"/>
          <w:bCs/>
          <w:i w:val="0"/>
          <w:caps w:val="0"/>
          <w:color w:val="333333"/>
          <w:spacing w:val="0"/>
          <w:sz w:val="30"/>
          <w:szCs w:val="30"/>
        </w:rPr>
        <w:t>财务报告和决算报告</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default" w:ascii="仿宋" w:hAnsi="仿宋" w:eastAsia="仿宋" w:cs="仿宋"/>
          <w:b w:val="0"/>
          <w:bCs/>
          <w:i w:val="0"/>
          <w:caps w:val="0"/>
          <w:color w:val="333333"/>
          <w:spacing w:val="0"/>
          <w:sz w:val="30"/>
          <w:szCs w:val="30"/>
        </w:rPr>
      </w:pPr>
      <w:r>
        <w:rPr>
          <w:rStyle w:val="17"/>
          <w:rFonts w:hint="default" w:ascii="仿宋" w:hAnsi="仿宋" w:eastAsia="仿宋" w:cs="仿宋"/>
          <w:b w:val="0"/>
          <w:bCs/>
          <w:i w:val="0"/>
          <w:caps w:val="0"/>
          <w:color w:val="333333"/>
          <w:spacing w:val="0"/>
          <w:sz w:val="30"/>
          <w:szCs w:val="30"/>
        </w:rPr>
        <w:t>行政单位</w:t>
      </w:r>
      <w:r>
        <w:rPr>
          <w:rStyle w:val="17"/>
          <w:rFonts w:hint="eastAsia" w:ascii="仿宋" w:hAnsi="仿宋" w:eastAsia="仿宋" w:cs="仿宋"/>
          <w:b w:val="0"/>
          <w:bCs/>
          <w:i w:val="0"/>
          <w:caps w:val="0"/>
          <w:color w:val="333333"/>
          <w:spacing w:val="0"/>
          <w:sz w:val="30"/>
          <w:szCs w:val="30"/>
        </w:rPr>
        <w:t>财务监督</w:t>
      </w:r>
    </w:p>
    <w:p>
      <w:pPr>
        <w:keepNext w:val="0"/>
        <w:keepLines w:val="0"/>
        <w:pageBreakBefore w:val="0"/>
        <w:kinsoku/>
        <w:wordWrap/>
        <w:overflowPunct/>
        <w:topLinePunct w:val="0"/>
        <w:autoSpaceDE/>
        <w:autoSpaceDN/>
        <w:bidi w:val="0"/>
        <w:adjustRightInd/>
        <w:spacing w:line="560" w:lineRule="exact"/>
        <w:textAlignment w:val="auto"/>
        <w:rPr>
          <w:rFonts w:hint="default" w:ascii="黑体" w:hAnsi="黑体" w:eastAsia="黑体" w:cs="黑体"/>
          <w:b/>
          <w:bCs/>
          <w:sz w:val="30"/>
          <w:szCs w:val="30"/>
          <w:lang w:eastAsia="zh-CN"/>
        </w:rPr>
      </w:pPr>
      <w:r>
        <w:rPr>
          <w:rFonts w:hint="default" w:ascii="黑体" w:hAnsi="黑体" w:eastAsia="黑体" w:cs="黑体"/>
          <w:b/>
          <w:bCs/>
          <w:sz w:val="30"/>
          <w:szCs w:val="30"/>
          <w:lang w:eastAsia="zh-CN"/>
        </w:rPr>
        <w:t>专题十七：</w:t>
      </w:r>
      <w:r>
        <w:rPr>
          <w:rFonts w:hint="default" w:ascii="黑体" w:hAnsi="黑体" w:eastAsia="黑体" w:cs="黑体"/>
          <w:b/>
          <w:bCs/>
          <w:sz w:val="30"/>
          <w:szCs w:val="30"/>
          <w:lang w:val="en-US" w:eastAsia="zh-CN"/>
        </w:rPr>
        <w:t>行政事业单位财会监督</w:t>
      </w:r>
      <w:r>
        <w:rPr>
          <w:rFonts w:hint="default" w:ascii="黑体" w:hAnsi="黑体" w:eastAsia="黑体" w:cs="黑体"/>
          <w:b/>
          <w:bCs/>
          <w:sz w:val="30"/>
          <w:szCs w:val="30"/>
          <w:lang w:eastAsia="zh-CN"/>
        </w:rPr>
        <w:t>理论和实践</w:t>
      </w:r>
    </w:p>
    <w:p>
      <w:pPr>
        <w:keepNext w:val="0"/>
        <w:keepLines w:val="0"/>
        <w:pageBreakBefore w:val="0"/>
        <w:kinsoku/>
        <w:wordWrap/>
        <w:overflowPunct/>
        <w:topLinePunct w:val="0"/>
        <w:autoSpaceDE/>
        <w:autoSpaceDN/>
        <w:bidi w:val="0"/>
        <w:adjustRightInd/>
        <w:spacing w:line="560" w:lineRule="exact"/>
        <w:textAlignment w:val="auto"/>
        <w:rPr>
          <w:rFonts w:hint="default" w:ascii="黑体" w:hAnsi="黑体" w:eastAsia="黑体" w:cs="黑体"/>
          <w:b/>
          <w:bCs/>
          <w:sz w:val="30"/>
          <w:szCs w:val="30"/>
          <w:lang w:eastAsia="zh-CN"/>
        </w:rPr>
      </w:pPr>
      <w:r>
        <w:rPr>
          <w:rFonts w:hint="default" w:ascii="黑体" w:hAnsi="黑体" w:eastAsia="黑体" w:cs="黑体"/>
          <w:b/>
          <w:bCs/>
          <w:sz w:val="30"/>
          <w:szCs w:val="30"/>
          <w:lang w:eastAsia="zh-CN"/>
        </w:rPr>
        <w:t xml:space="preserve">  （</w:t>
      </w:r>
      <w:r>
        <w:rPr>
          <w:rFonts w:hint="default" w:ascii="楷体" w:hAnsi="楷体" w:eastAsia="楷体" w:cs="楷体"/>
          <w:b/>
          <w:spacing w:val="8"/>
          <w:sz w:val="30"/>
          <w:szCs w:val="30"/>
          <w:lang w:eastAsia="zh-CN"/>
        </w:rPr>
        <w:t>一）专题介绍：</w:t>
      </w:r>
    </w:p>
    <w:p>
      <w:pPr>
        <w:keepNext w:val="0"/>
        <w:keepLines w:val="0"/>
        <w:pageBreakBefore w:val="0"/>
        <w:kinsoku/>
        <w:wordWrap/>
        <w:overflowPunct/>
        <w:topLinePunct w:val="0"/>
        <w:autoSpaceDE/>
        <w:autoSpaceDN/>
        <w:bidi w:val="0"/>
        <w:adjustRightInd/>
        <w:spacing w:line="560" w:lineRule="exact"/>
        <w:ind w:firstLine="587"/>
        <w:textAlignment w:val="auto"/>
        <w:rPr>
          <w:rFonts w:hint="default" w:ascii="仿宋" w:hAnsi="仿宋" w:eastAsia="仿宋" w:cs="仿宋"/>
          <w:bCs/>
          <w:color w:val="auto"/>
          <w:spacing w:val="8"/>
          <w:kern w:val="2"/>
          <w:sz w:val="30"/>
          <w:szCs w:val="30"/>
          <w:lang w:val="en-US" w:eastAsia="zh-CN" w:bidi="ar-SA"/>
        </w:rPr>
      </w:pPr>
      <w:r>
        <w:rPr>
          <w:rFonts w:hint="default" w:ascii="仿宋" w:hAnsi="仿宋" w:eastAsia="仿宋" w:cs="仿宋"/>
          <w:bCs/>
          <w:color w:val="auto"/>
          <w:spacing w:val="8"/>
          <w:kern w:val="2"/>
          <w:sz w:val="30"/>
          <w:szCs w:val="30"/>
          <w:lang w:val="en-US" w:eastAsia="zh-CN" w:bidi="ar-SA"/>
        </w:rPr>
        <w:t>习近平总书记在十九届中央纪委四次全会上强调“要完善党和国家监督体系，统筹推进纪检监察体制改革……要以党内监督为主导，推动人大监督、民主监督、行政监督、司法监督、审计监督、财会监督、统计监督、群众监督、舆论监督有机贯通、相互协调”。</w:t>
      </w:r>
    </w:p>
    <w:p>
      <w:pPr>
        <w:keepNext w:val="0"/>
        <w:keepLines w:val="0"/>
        <w:pageBreakBefore w:val="0"/>
        <w:kinsoku/>
        <w:wordWrap/>
        <w:overflowPunct/>
        <w:topLinePunct w:val="0"/>
        <w:autoSpaceDE/>
        <w:autoSpaceDN/>
        <w:bidi w:val="0"/>
        <w:adjustRightInd/>
        <w:spacing w:line="560" w:lineRule="exact"/>
        <w:ind w:firstLine="587"/>
        <w:textAlignment w:val="auto"/>
        <w:rPr>
          <w:rFonts w:hint="default" w:ascii="仿宋" w:hAnsi="仿宋" w:eastAsia="仿宋" w:cs="仿宋"/>
          <w:bCs/>
          <w:color w:val="auto"/>
          <w:spacing w:val="8"/>
          <w:kern w:val="2"/>
          <w:sz w:val="30"/>
          <w:szCs w:val="30"/>
          <w:lang w:val="en-US" w:eastAsia="zh-CN" w:bidi="ar-SA"/>
        </w:rPr>
      </w:pPr>
      <w:r>
        <w:rPr>
          <w:rFonts w:hint="default" w:ascii="仿宋" w:hAnsi="仿宋" w:eastAsia="仿宋" w:cs="仿宋"/>
          <w:bCs/>
          <w:color w:val="auto"/>
          <w:spacing w:val="8"/>
          <w:kern w:val="2"/>
          <w:sz w:val="30"/>
          <w:szCs w:val="30"/>
          <w:lang w:val="en-US" w:eastAsia="zh-CN" w:bidi="ar-SA"/>
        </w:rPr>
        <w:t>财会监督作为党和国家十大监督体系的重要组成部分，在党和国家的监督体系中发挥着基础性的支持作用。财会监督是依法依规对国家机关、企事业单位、其他组织和个人的财政、财务、会计活动实施的监督。2023年2月15日中共中央办公厅、国务院办公厅印发了《关于进一步加强财会监督工作的意见》明确提出，总体要求、健全财会监督体系、完善财会监督、重点领域财会监督和保障措施。</w:t>
      </w:r>
    </w:p>
    <w:p>
      <w:pPr>
        <w:keepNext w:val="0"/>
        <w:keepLines w:val="0"/>
        <w:pageBreakBefore w:val="0"/>
        <w:kinsoku/>
        <w:wordWrap/>
        <w:overflowPunct/>
        <w:topLinePunct w:val="0"/>
        <w:autoSpaceDE/>
        <w:autoSpaceDN/>
        <w:bidi w:val="0"/>
        <w:adjustRightInd/>
        <w:spacing w:line="560" w:lineRule="exact"/>
        <w:textAlignment w:val="auto"/>
        <w:rPr>
          <w:rFonts w:hint="default" w:ascii="宋体" w:hAnsi="宋体" w:eastAsia="宋体" w:cs="宋体"/>
          <w:i w:val="0"/>
          <w:iCs w:val="0"/>
          <w:caps w:val="0"/>
          <w:color w:val="333333"/>
          <w:spacing w:val="0"/>
          <w:sz w:val="24"/>
          <w:szCs w:val="24"/>
          <w:shd w:val="clear" w:fill="FFFFFF"/>
          <w:lang w:eastAsia="zh-CN"/>
        </w:rPr>
      </w:pPr>
      <w:r>
        <w:rPr>
          <w:rFonts w:hint="eastAsia" w:ascii="楷体" w:hAnsi="楷体" w:eastAsia="楷体" w:cs="楷体"/>
          <w:b/>
          <w:spacing w:val="8"/>
          <w:sz w:val="30"/>
          <w:szCs w:val="30"/>
          <w:lang w:eastAsia="zh-CN"/>
        </w:rPr>
        <w:t>（</w:t>
      </w:r>
      <w:r>
        <w:rPr>
          <w:rFonts w:hint="default" w:ascii="楷体" w:hAnsi="楷体" w:eastAsia="楷体" w:cs="楷体"/>
          <w:b/>
          <w:spacing w:val="8"/>
          <w:sz w:val="30"/>
          <w:szCs w:val="30"/>
          <w:lang w:eastAsia="zh-CN"/>
        </w:rPr>
        <w:t>二</w:t>
      </w:r>
      <w:r>
        <w:rPr>
          <w:rFonts w:hint="eastAsia" w:ascii="楷体" w:hAnsi="楷体" w:eastAsia="楷体" w:cs="楷体"/>
          <w:b/>
          <w:spacing w:val="8"/>
          <w:sz w:val="30"/>
          <w:szCs w:val="30"/>
          <w:lang w:val="en-US" w:eastAsia="zh-CN"/>
        </w:rPr>
        <w:t>）</w:t>
      </w:r>
      <w:r>
        <w:rPr>
          <w:rFonts w:hint="default" w:ascii="楷体" w:hAnsi="楷体" w:eastAsia="楷体" w:cs="楷体"/>
          <w:b/>
          <w:spacing w:val="8"/>
          <w:sz w:val="30"/>
          <w:szCs w:val="30"/>
          <w:lang w:eastAsia="zh-CN"/>
        </w:rPr>
        <w:t>课程内容：</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default" w:ascii="仿宋" w:hAnsi="仿宋" w:eastAsia="仿宋" w:cs="仿宋"/>
          <w:b w:val="0"/>
          <w:bCs/>
          <w:i w:val="0"/>
          <w:caps w:val="0"/>
          <w:color w:val="333333"/>
          <w:spacing w:val="0"/>
          <w:sz w:val="30"/>
          <w:szCs w:val="30"/>
        </w:rPr>
      </w:pPr>
      <w:r>
        <w:rPr>
          <w:rStyle w:val="17"/>
          <w:rFonts w:hint="default" w:ascii="仿宋" w:hAnsi="仿宋" w:eastAsia="仿宋" w:cs="仿宋"/>
          <w:b w:val="0"/>
          <w:bCs/>
          <w:i w:val="0"/>
          <w:caps w:val="0"/>
          <w:color w:val="333333"/>
          <w:spacing w:val="0"/>
          <w:sz w:val="30"/>
          <w:szCs w:val="30"/>
          <w:lang w:val="en-US" w:eastAsia="zh-CN"/>
        </w:rPr>
        <w:t>完善党和国家监督体系</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default" w:ascii="仿宋" w:hAnsi="仿宋" w:eastAsia="仿宋" w:cs="仿宋"/>
          <w:b w:val="0"/>
          <w:bCs/>
          <w:i w:val="0"/>
          <w:caps w:val="0"/>
          <w:color w:val="333333"/>
          <w:spacing w:val="0"/>
          <w:sz w:val="30"/>
          <w:szCs w:val="30"/>
        </w:rPr>
      </w:pPr>
      <w:r>
        <w:rPr>
          <w:rStyle w:val="17"/>
          <w:rFonts w:hint="default" w:ascii="仿宋" w:hAnsi="仿宋" w:eastAsia="仿宋" w:cs="仿宋"/>
          <w:b w:val="0"/>
          <w:bCs/>
          <w:i w:val="0"/>
          <w:caps w:val="0"/>
          <w:color w:val="333333"/>
          <w:spacing w:val="0"/>
          <w:sz w:val="30"/>
          <w:szCs w:val="30"/>
          <w:lang w:val="en-US" w:eastAsia="zh-CN"/>
        </w:rPr>
        <w:t>财会监督内涵与外延</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default" w:ascii="仿宋" w:hAnsi="仿宋" w:eastAsia="仿宋" w:cs="仿宋"/>
          <w:b w:val="0"/>
          <w:bCs/>
          <w:i w:val="0"/>
          <w:caps w:val="0"/>
          <w:color w:val="333333"/>
          <w:spacing w:val="0"/>
          <w:sz w:val="30"/>
          <w:szCs w:val="30"/>
        </w:rPr>
      </w:pPr>
      <w:r>
        <w:rPr>
          <w:rStyle w:val="17"/>
          <w:rFonts w:hint="default" w:ascii="仿宋" w:hAnsi="仿宋" w:eastAsia="仿宋" w:cs="仿宋"/>
          <w:b w:val="0"/>
          <w:bCs/>
          <w:i w:val="0"/>
          <w:caps w:val="0"/>
          <w:color w:val="333333"/>
          <w:spacing w:val="0"/>
          <w:sz w:val="30"/>
          <w:szCs w:val="30"/>
          <w:lang w:val="en-US" w:eastAsia="zh-CN"/>
        </w:rPr>
        <w:t>健全财会监督体系：法定职责与具体事项</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default" w:ascii="仿宋" w:hAnsi="仿宋" w:eastAsia="仿宋" w:cs="仿宋"/>
          <w:b w:val="0"/>
          <w:bCs/>
          <w:i w:val="0"/>
          <w:caps w:val="0"/>
          <w:color w:val="333333"/>
          <w:spacing w:val="0"/>
          <w:sz w:val="30"/>
          <w:szCs w:val="30"/>
        </w:rPr>
      </w:pPr>
      <w:r>
        <w:rPr>
          <w:rStyle w:val="17"/>
          <w:rFonts w:hint="default" w:ascii="仿宋" w:hAnsi="仿宋" w:eastAsia="仿宋" w:cs="仿宋"/>
          <w:b w:val="0"/>
          <w:bCs/>
          <w:i w:val="0"/>
          <w:caps w:val="0"/>
          <w:color w:val="333333"/>
          <w:spacing w:val="0"/>
          <w:sz w:val="30"/>
          <w:szCs w:val="30"/>
          <w:lang w:val="en-US" w:eastAsia="zh-CN"/>
        </w:rPr>
        <w:t>我国财会监督工作机制</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default" w:ascii="仿宋" w:hAnsi="仿宋" w:eastAsia="仿宋" w:cs="仿宋"/>
          <w:b w:val="0"/>
          <w:bCs/>
          <w:i w:val="0"/>
          <w:caps w:val="0"/>
          <w:color w:val="333333"/>
          <w:spacing w:val="0"/>
          <w:sz w:val="30"/>
          <w:szCs w:val="30"/>
        </w:rPr>
      </w:pPr>
      <w:r>
        <w:rPr>
          <w:rStyle w:val="17"/>
          <w:rFonts w:hint="default" w:ascii="仿宋" w:hAnsi="仿宋" w:eastAsia="仿宋" w:cs="仿宋"/>
          <w:b w:val="0"/>
          <w:bCs/>
          <w:i w:val="0"/>
          <w:caps w:val="0"/>
          <w:color w:val="333333"/>
          <w:spacing w:val="0"/>
          <w:sz w:val="30"/>
          <w:szCs w:val="30"/>
          <w:lang w:val="en-US" w:eastAsia="zh-CN"/>
        </w:rPr>
        <w:t>当前我国加强重点领域财会监督</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default" w:ascii="仿宋" w:hAnsi="仿宋" w:eastAsia="仿宋" w:cs="仿宋"/>
          <w:b w:val="0"/>
          <w:bCs/>
          <w:i w:val="0"/>
          <w:caps w:val="0"/>
          <w:color w:val="333333"/>
          <w:spacing w:val="0"/>
          <w:sz w:val="30"/>
          <w:szCs w:val="30"/>
        </w:rPr>
      </w:pPr>
      <w:r>
        <w:rPr>
          <w:rStyle w:val="17"/>
          <w:rFonts w:hint="default" w:ascii="仿宋" w:hAnsi="仿宋" w:eastAsia="仿宋" w:cs="仿宋"/>
          <w:b w:val="0"/>
          <w:bCs/>
          <w:i w:val="0"/>
          <w:caps w:val="0"/>
          <w:color w:val="333333"/>
          <w:spacing w:val="0"/>
          <w:sz w:val="30"/>
          <w:szCs w:val="30"/>
          <w:lang w:val="en-US" w:eastAsia="zh-CN"/>
        </w:rPr>
        <w:t>单位内部会计监督制度</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left="0" w:firstLine="614" w:firstLineChars="200"/>
        <w:jc w:val="left"/>
        <w:textAlignment w:val="auto"/>
        <w:rPr>
          <w:rStyle w:val="17"/>
          <w:rFonts w:hint="default" w:ascii="仿宋" w:hAnsi="仿宋" w:eastAsia="仿宋" w:cs="仿宋"/>
          <w:b w:val="0"/>
          <w:bCs/>
          <w:i w:val="0"/>
          <w:caps w:val="0"/>
          <w:color w:val="333333"/>
          <w:spacing w:val="0"/>
          <w:sz w:val="30"/>
          <w:szCs w:val="30"/>
        </w:rPr>
      </w:pPr>
      <w:r>
        <w:rPr>
          <w:rStyle w:val="17"/>
          <w:rFonts w:hint="default" w:ascii="仿宋" w:hAnsi="仿宋" w:eastAsia="仿宋" w:cs="仿宋"/>
          <w:b w:val="0"/>
          <w:bCs/>
          <w:i w:val="0"/>
          <w:caps w:val="0"/>
          <w:color w:val="333333"/>
          <w:spacing w:val="0"/>
          <w:sz w:val="30"/>
          <w:szCs w:val="30"/>
          <w:lang w:val="en-US" w:eastAsia="zh-CN"/>
        </w:rPr>
        <w:t>加强行政事业单位财会监督策略</w:t>
      </w:r>
    </w:p>
    <w:p>
      <w:pPr>
        <w:keepNext w:val="0"/>
        <w:keepLines w:val="0"/>
        <w:pageBreakBefore w:val="0"/>
        <w:kinsoku/>
        <w:wordWrap/>
        <w:overflowPunct/>
        <w:topLinePunct w:val="0"/>
        <w:autoSpaceDE/>
        <w:autoSpaceDN/>
        <w:bidi w:val="0"/>
        <w:adjustRightInd/>
        <w:spacing w:line="560" w:lineRule="exact"/>
        <w:textAlignment w:val="auto"/>
        <w:rPr>
          <w:rFonts w:hint="default" w:ascii="宋体" w:hAnsi="宋体" w:eastAsia="宋体" w:cs="宋体"/>
          <w:i w:val="0"/>
          <w:iCs w:val="0"/>
          <w:caps w:val="0"/>
          <w:color w:val="333333"/>
          <w:spacing w:val="0"/>
          <w:sz w:val="24"/>
          <w:szCs w:val="24"/>
          <w:shd w:val="clear" w:fill="FFFFFF"/>
          <w:lang w:val="en-US" w:eastAsia="zh-CN"/>
        </w:rPr>
      </w:pPr>
      <w:r>
        <w:rPr>
          <w:rFonts w:hint="eastAsia" w:ascii="黑体" w:hAnsi="黑体" w:eastAsia="黑体" w:cs="黑体"/>
          <w:b/>
          <w:bCs/>
          <w:sz w:val="30"/>
          <w:szCs w:val="30"/>
          <w:lang w:val="en-US" w:eastAsia="zh-CN"/>
        </w:rPr>
        <w:t>专题十八：中小学财务制度</w:t>
      </w:r>
    </w:p>
    <w:p>
      <w:pPr>
        <w:keepNext w:val="0"/>
        <w:keepLines w:val="0"/>
        <w:pageBreakBefore w:val="0"/>
        <w:kinsoku/>
        <w:wordWrap/>
        <w:overflowPunct/>
        <w:topLinePunct w:val="0"/>
        <w:autoSpaceDE/>
        <w:autoSpaceDN/>
        <w:bidi w:val="0"/>
        <w:adjustRightInd/>
        <w:spacing w:line="560" w:lineRule="exact"/>
        <w:textAlignment w:val="auto"/>
        <w:rPr>
          <w:rFonts w:hint="eastAsia" w:ascii="楷体" w:hAnsi="楷体" w:eastAsia="楷体" w:cs="楷体"/>
          <w:b/>
          <w:spacing w:val="8"/>
          <w:sz w:val="30"/>
          <w:szCs w:val="30"/>
          <w:lang w:val="en-US" w:eastAsia="zh-CN"/>
        </w:rPr>
      </w:pPr>
      <w:r>
        <w:rPr>
          <w:rFonts w:hint="eastAsia" w:ascii="楷体" w:hAnsi="楷体" w:eastAsia="楷体" w:cs="楷体"/>
          <w:b/>
          <w:spacing w:val="8"/>
          <w:sz w:val="30"/>
          <w:szCs w:val="30"/>
          <w:lang w:val="en-US" w:eastAsia="zh-CN"/>
        </w:rPr>
        <w:t>（一）专题介绍：</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72"/>
        <w:jc w:val="left"/>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为进一步规范中小学校财务行为，加强财务管理和监督，坚持勤俭办学，提高资金使用效益，促进中小学校健康发展，近日，财政部会同教育部印发了新修订的《中小学校财务制度》（以下简称《制度》）。与原《制度》相比，新《制度》针对地方落实“双减”、学生营养改善计划、扩大普惠性学前教育资源等重大政策时面临的新情况、新要求，统筹兼顾学校财务管理薄弱环节。《制度》从2022年9月1日起正式实施。财政部将会同教育部密切关注《制度》实施情况，持续跟踪问效，指导中小学校切实提高财务管理水平，确保《制度》贯彻落实。</w:t>
      </w:r>
    </w:p>
    <w:p>
      <w:pPr>
        <w:keepNext w:val="0"/>
        <w:keepLines w:val="0"/>
        <w:pageBreakBefore w:val="0"/>
        <w:kinsoku/>
        <w:wordWrap/>
        <w:overflowPunct/>
        <w:topLinePunct w:val="0"/>
        <w:autoSpaceDE/>
        <w:autoSpaceDN/>
        <w:bidi w:val="0"/>
        <w:adjustRightInd/>
        <w:spacing w:line="560" w:lineRule="exact"/>
        <w:textAlignment w:val="auto"/>
        <w:rPr>
          <w:rFonts w:hint="default" w:ascii="宋体" w:hAnsi="宋体" w:eastAsia="宋体" w:cs="宋体"/>
          <w:i w:val="0"/>
          <w:iCs w:val="0"/>
          <w:caps w:val="0"/>
          <w:color w:val="333333"/>
          <w:spacing w:val="0"/>
          <w:sz w:val="24"/>
          <w:szCs w:val="24"/>
          <w:shd w:val="clear" w:fill="FFFFFF"/>
          <w:lang w:eastAsia="zh-CN"/>
        </w:rPr>
      </w:pPr>
      <w:r>
        <w:rPr>
          <w:rFonts w:hint="eastAsia" w:ascii="楷体" w:hAnsi="楷体" w:eastAsia="楷体" w:cs="楷体"/>
          <w:b/>
          <w:spacing w:val="8"/>
          <w:sz w:val="30"/>
          <w:szCs w:val="30"/>
          <w:lang w:eastAsia="zh-CN"/>
        </w:rPr>
        <w:t>（</w:t>
      </w:r>
      <w:r>
        <w:rPr>
          <w:rFonts w:hint="default" w:ascii="楷体" w:hAnsi="楷体" w:eastAsia="楷体" w:cs="楷体"/>
          <w:b/>
          <w:spacing w:val="8"/>
          <w:sz w:val="30"/>
          <w:szCs w:val="30"/>
          <w:lang w:eastAsia="zh-CN"/>
        </w:rPr>
        <w:t>二</w:t>
      </w:r>
      <w:r>
        <w:rPr>
          <w:rFonts w:hint="eastAsia" w:ascii="楷体" w:hAnsi="楷体" w:eastAsia="楷体" w:cs="楷体"/>
          <w:b/>
          <w:spacing w:val="8"/>
          <w:sz w:val="30"/>
          <w:szCs w:val="30"/>
          <w:lang w:val="en-US" w:eastAsia="zh-CN"/>
        </w:rPr>
        <w:t>）</w:t>
      </w:r>
      <w:r>
        <w:rPr>
          <w:rFonts w:hint="default" w:ascii="楷体" w:hAnsi="楷体" w:eastAsia="楷体" w:cs="楷体"/>
          <w:b/>
          <w:spacing w:val="8"/>
          <w:sz w:val="30"/>
          <w:szCs w:val="30"/>
          <w:lang w:eastAsia="zh-CN"/>
        </w:rPr>
        <w:t>课程内容：</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firstLine="646" w:firstLineChars="200"/>
        <w:jc w:val="left"/>
        <w:textAlignment w:val="auto"/>
        <w:rPr>
          <w:rFonts w:hint="eastAsia" w:ascii="仿宋" w:hAnsi="仿宋" w:eastAsia="仿宋" w:cs="仿宋"/>
          <w:bCs/>
          <w:color w:val="auto"/>
          <w:spacing w:val="8"/>
          <w:sz w:val="30"/>
          <w:szCs w:val="30"/>
          <w:lang w:val="en-US" w:eastAsia="zh-CN"/>
        </w:rPr>
      </w:pPr>
      <w:r>
        <w:rPr>
          <w:rFonts w:hint="eastAsia" w:ascii="仿宋" w:hAnsi="仿宋" w:eastAsia="仿宋" w:cs="仿宋"/>
          <w:bCs/>
          <w:color w:val="auto"/>
          <w:spacing w:val="8"/>
          <w:sz w:val="30"/>
          <w:szCs w:val="30"/>
          <w:lang w:val="en-US" w:eastAsia="zh-CN"/>
        </w:rPr>
        <w:t>财务管理体制</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firstLine="646" w:firstLineChars="200"/>
        <w:jc w:val="left"/>
        <w:textAlignment w:val="auto"/>
        <w:rPr>
          <w:rFonts w:hint="eastAsia" w:ascii="仿宋" w:hAnsi="仿宋" w:eastAsia="仿宋" w:cs="仿宋"/>
          <w:bCs/>
          <w:color w:val="auto"/>
          <w:spacing w:val="8"/>
          <w:sz w:val="30"/>
          <w:szCs w:val="30"/>
          <w:lang w:val="en-US" w:eastAsia="zh-CN"/>
        </w:rPr>
      </w:pPr>
      <w:r>
        <w:rPr>
          <w:rFonts w:hint="eastAsia" w:ascii="仿宋" w:hAnsi="仿宋" w:eastAsia="仿宋" w:cs="仿宋"/>
          <w:bCs/>
          <w:color w:val="auto"/>
          <w:spacing w:val="8"/>
          <w:sz w:val="30"/>
          <w:szCs w:val="30"/>
          <w:lang w:val="en-US" w:eastAsia="zh-CN"/>
        </w:rPr>
        <w:t>预算管理</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firstLine="646" w:firstLineChars="200"/>
        <w:jc w:val="left"/>
        <w:textAlignment w:val="auto"/>
        <w:rPr>
          <w:rFonts w:hint="eastAsia" w:ascii="仿宋" w:hAnsi="仿宋" w:eastAsia="仿宋" w:cs="仿宋"/>
          <w:bCs/>
          <w:color w:val="auto"/>
          <w:spacing w:val="8"/>
          <w:sz w:val="30"/>
          <w:szCs w:val="30"/>
          <w:lang w:val="en-US" w:eastAsia="zh-CN"/>
        </w:rPr>
      </w:pPr>
      <w:r>
        <w:rPr>
          <w:rFonts w:hint="eastAsia" w:ascii="仿宋" w:hAnsi="仿宋" w:eastAsia="仿宋" w:cs="仿宋"/>
          <w:bCs/>
          <w:color w:val="auto"/>
          <w:spacing w:val="8"/>
          <w:sz w:val="30"/>
          <w:szCs w:val="30"/>
          <w:lang w:val="en-US" w:eastAsia="zh-CN"/>
        </w:rPr>
        <w:t>收入管理</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firstLine="646" w:firstLineChars="200"/>
        <w:jc w:val="left"/>
        <w:textAlignment w:val="auto"/>
        <w:rPr>
          <w:rFonts w:hint="eastAsia" w:ascii="仿宋" w:hAnsi="仿宋" w:eastAsia="仿宋" w:cs="仿宋"/>
          <w:bCs/>
          <w:color w:val="auto"/>
          <w:spacing w:val="8"/>
          <w:sz w:val="30"/>
          <w:szCs w:val="30"/>
          <w:lang w:val="en-US" w:eastAsia="zh-CN"/>
        </w:rPr>
      </w:pPr>
      <w:r>
        <w:rPr>
          <w:rFonts w:hint="eastAsia" w:ascii="仿宋" w:hAnsi="仿宋" w:eastAsia="仿宋" w:cs="仿宋"/>
          <w:bCs/>
          <w:color w:val="auto"/>
          <w:spacing w:val="8"/>
          <w:sz w:val="30"/>
          <w:szCs w:val="30"/>
          <w:lang w:val="en-US" w:eastAsia="zh-CN"/>
        </w:rPr>
        <w:t>支出管理</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firstLine="646" w:firstLineChars="200"/>
        <w:jc w:val="left"/>
        <w:textAlignment w:val="auto"/>
        <w:rPr>
          <w:rFonts w:hint="eastAsia" w:ascii="仿宋" w:hAnsi="仿宋" w:eastAsia="仿宋" w:cs="仿宋"/>
          <w:bCs/>
          <w:color w:val="auto"/>
          <w:spacing w:val="8"/>
          <w:sz w:val="30"/>
          <w:szCs w:val="30"/>
          <w:lang w:val="en-US" w:eastAsia="zh-CN"/>
        </w:rPr>
      </w:pPr>
      <w:r>
        <w:rPr>
          <w:rFonts w:hint="eastAsia" w:ascii="仿宋" w:hAnsi="仿宋" w:eastAsia="仿宋" w:cs="仿宋"/>
          <w:bCs/>
          <w:color w:val="auto"/>
          <w:spacing w:val="8"/>
          <w:sz w:val="30"/>
          <w:szCs w:val="30"/>
          <w:lang w:val="en-US" w:eastAsia="zh-CN"/>
        </w:rPr>
        <w:t>结转和结余管理</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firstLine="646" w:firstLineChars="200"/>
        <w:jc w:val="left"/>
        <w:textAlignment w:val="auto"/>
        <w:rPr>
          <w:rFonts w:hint="eastAsia" w:ascii="仿宋" w:hAnsi="仿宋" w:eastAsia="仿宋" w:cs="仿宋"/>
          <w:bCs/>
          <w:color w:val="auto"/>
          <w:spacing w:val="8"/>
          <w:sz w:val="30"/>
          <w:szCs w:val="30"/>
          <w:lang w:val="en-US" w:eastAsia="zh-CN"/>
        </w:rPr>
      </w:pPr>
      <w:r>
        <w:rPr>
          <w:rFonts w:hint="eastAsia" w:ascii="仿宋" w:hAnsi="仿宋" w:eastAsia="仿宋" w:cs="仿宋"/>
          <w:bCs/>
          <w:color w:val="auto"/>
          <w:spacing w:val="8"/>
          <w:sz w:val="30"/>
          <w:szCs w:val="30"/>
          <w:lang w:val="en-US" w:eastAsia="zh-CN"/>
        </w:rPr>
        <w:t>专用基金管理</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firstLine="646" w:firstLineChars="200"/>
        <w:jc w:val="left"/>
        <w:textAlignment w:val="auto"/>
        <w:rPr>
          <w:rFonts w:hint="eastAsia" w:ascii="仿宋" w:hAnsi="仿宋" w:eastAsia="仿宋" w:cs="仿宋"/>
          <w:bCs/>
          <w:color w:val="auto"/>
          <w:spacing w:val="8"/>
          <w:sz w:val="30"/>
          <w:szCs w:val="30"/>
          <w:lang w:val="en-US" w:eastAsia="zh-CN"/>
        </w:rPr>
      </w:pPr>
      <w:r>
        <w:rPr>
          <w:rFonts w:hint="eastAsia" w:ascii="仿宋" w:hAnsi="仿宋" w:eastAsia="仿宋" w:cs="仿宋"/>
          <w:bCs/>
          <w:color w:val="auto"/>
          <w:spacing w:val="8"/>
          <w:sz w:val="30"/>
          <w:szCs w:val="30"/>
          <w:lang w:val="en-US" w:eastAsia="zh-CN"/>
        </w:rPr>
        <w:t>资产管理</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firstLine="646" w:firstLineChars="200"/>
        <w:jc w:val="left"/>
        <w:textAlignment w:val="auto"/>
        <w:rPr>
          <w:rFonts w:hint="eastAsia" w:ascii="仿宋" w:hAnsi="仿宋" w:eastAsia="仿宋" w:cs="仿宋"/>
          <w:bCs/>
          <w:color w:val="auto"/>
          <w:spacing w:val="8"/>
          <w:sz w:val="30"/>
          <w:szCs w:val="30"/>
          <w:lang w:val="en-US" w:eastAsia="zh-CN"/>
        </w:rPr>
      </w:pPr>
      <w:r>
        <w:rPr>
          <w:rFonts w:hint="eastAsia" w:ascii="仿宋" w:hAnsi="仿宋" w:eastAsia="仿宋" w:cs="仿宋"/>
          <w:bCs/>
          <w:color w:val="auto"/>
          <w:spacing w:val="8"/>
          <w:sz w:val="30"/>
          <w:szCs w:val="30"/>
          <w:lang w:val="en-US" w:eastAsia="zh-CN"/>
        </w:rPr>
        <w:t>负债管理</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firstLine="646" w:firstLineChars="200"/>
        <w:jc w:val="left"/>
        <w:textAlignment w:val="auto"/>
        <w:rPr>
          <w:rFonts w:hint="eastAsia" w:ascii="仿宋" w:hAnsi="仿宋" w:eastAsia="仿宋" w:cs="仿宋"/>
          <w:bCs/>
          <w:color w:val="auto"/>
          <w:spacing w:val="8"/>
          <w:sz w:val="30"/>
          <w:szCs w:val="30"/>
          <w:lang w:val="en-US" w:eastAsia="zh-CN"/>
        </w:rPr>
      </w:pPr>
      <w:r>
        <w:rPr>
          <w:rFonts w:hint="eastAsia" w:ascii="仿宋" w:hAnsi="仿宋" w:eastAsia="仿宋" w:cs="仿宋"/>
          <w:bCs/>
          <w:color w:val="auto"/>
          <w:spacing w:val="8"/>
          <w:sz w:val="30"/>
          <w:szCs w:val="30"/>
          <w:lang w:val="en-US" w:eastAsia="zh-CN"/>
        </w:rPr>
        <w:t>财务清算</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firstLine="646" w:firstLineChars="200"/>
        <w:jc w:val="left"/>
        <w:textAlignment w:val="auto"/>
        <w:rPr>
          <w:rFonts w:hint="eastAsia" w:ascii="仿宋" w:hAnsi="仿宋" w:eastAsia="仿宋" w:cs="仿宋"/>
          <w:bCs/>
          <w:color w:val="auto"/>
          <w:spacing w:val="8"/>
          <w:sz w:val="30"/>
          <w:szCs w:val="30"/>
          <w:lang w:val="en-US" w:eastAsia="zh-CN"/>
        </w:rPr>
      </w:pPr>
      <w:r>
        <w:rPr>
          <w:rFonts w:hint="eastAsia" w:ascii="仿宋" w:hAnsi="仿宋" w:eastAsia="仿宋" w:cs="仿宋"/>
          <w:bCs/>
          <w:color w:val="auto"/>
          <w:spacing w:val="8"/>
          <w:sz w:val="30"/>
          <w:szCs w:val="30"/>
          <w:lang w:val="en-US" w:eastAsia="zh-CN"/>
        </w:rPr>
        <w:t>财务报告和决算报告</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firstLine="646" w:firstLineChars="200"/>
        <w:jc w:val="left"/>
        <w:textAlignment w:val="auto"/>
        <w:rPr>
          <w:rFonts w:hint="default" w:ascii="仿宋" w:hAnsi="仿宋" w:eastAsia="仿宋" w:cs="仿宋"/>
          <w:bCs/>
          <w:color w:val="auto"/>
          <w:spacing w:val="8"/>
          <w:sz w:val="30"/>
          <w:szCs w:val="30"/>
          <w:lang w:val="en-US" w:eastAsia="zh-CN"/>
        </w:rPr>
      </w:pPr>
      <w:r>
        <w:rPr>
          <w:rFonts w:hint="eastAsia" w:ascii="仿宋" w:hAnsi="仿宋" w:eastAsia="仿宋" w:cs="仿宋"/>
          <w:bCs/>
          <w:color w:val="auto"/>
          <w:spacing w:val="8"/>
          <w:sz w:val="30"/>
          <w:szCs w:val="30"/>
          <w:lang w:val="en-US" w:eastAsia="zh-CN"/>
        </w:rPr>
        <w:t>财务监督</w:t>
      </w:r>
    </w:p>
    <w:p>
      <w:pPr>
        <w:keepNext w:val="0"/>
        <w:keepLines w:val="0"/>
        <w:pageBreakBefore w:val="0"/>
        <w:widowControl/>
        <w:numPr>
          <w:ilvl w:val="0"/>
          <w:numId w:val="0"/>
        </w:numPr>
        <w:kinsoku/>
        <w:wordWrap/>
        <w:overflowPunct/>
        <w:topLinePunct w:val="0"/>
        <w:autoSpaceDE/>
        <w:autoSpaceDN/>
        <w:bidi w:val="0"/>
        <w:adjustRightInd/>
        <w:snapToGrid w:val="0"/>
        <w:spacing w:before="441" w:beforeLines="100" w:after="221" w:afterLines="50" w:line="560" w:lineRule="exact"/>
        <w:jc w:val="left"/>
        <w:textAlignment w:val="auto"/>
        <w:rPr>
          <w:rFonts w:hint="eastAsia" w:ascii="仿宋" w:hAnsi="仿宋" w:eastAsia="仿宋" w:cs="仿宋"/>
          <w:b w:val="0"/>
          <w:bCs w:val="0"/>
          <w:sz w:val="30"/>
          <w:szCs w:val="30"/>
        </w:rPr>
      </w:pPr>
    </w:p>
    <w:p>
      <w:pPr>
        <w:keepNext w:val="0"/>
        <w:keepLines w:val="0"/>
        <w:pageBreakBefore w:val="0"/>
        <w:kinsoku/>
        <w:wordWrap/>
        <w:overflowPunct/>
        <w:topLinePunct w:val="0"/>
        <w:autoSpaceDE/>
        <w:autoSpaceDN/>
        <w:bidi w:val="0"/>
        <w:adjustRightInd/>
        <w:spacing w:line="560" w:lineRule="exact"/>
        <w:textAlignment w:val="auto"/>
        <w:rPr>
          <w:rFonts w:hint="default" w:ascii="宋体" w:hAnsi="宋体" w:eastAsia="宋体" w:cs="宋体"/>
          <w:i w:val="0"/>
          <w:iCs w:val="0"/>
          <w:caps w:val="0"/>
          <w:color w:val="333333"/>
          <w:spacing w:val="0"/>
          <w:sz w:val="24"/>
          <w:szCs w:val="24"/>
          <w:shd w:val="clear" w:fill="FFFFFF"/>
          <w:lang w:eastAsia="zh-CN"/>
        </w:rPr>
      </w:pPr>
    </w:p>
    <w:p>
      <w:pPr>
        <w:keepNext w:val="0"/>
        <w:keepLines w:val="0"/>
        <w:pageBreakBefore w:val="0"/>
        <w:widowControl/>
        <w:numPr>
          <w:ilvl w:val="0"/>
          <w:numId w:val="0"/>
        </w:numPr>
        <w:kinsoku/>
        <w:wordWrap/>
        <w:overflowPunct/>
        <w:topLinePunct w:val="0"/>
        <w:autoSpaceDE/>
        <w:autoSpaceDN/>
        <w:bidi w:val="0"/>
        <w:adjustRightInd/>
        <w:snapToGrid w:val="0"/>
        <w:spacing w:before="441" w:beforeLines="100" w:after="221" w:afterLines="50" w:line="560" w:lineRule="exact"/>
        <w:jc w:val="left"/>
        <w:textAlignment w:val="auto"/>
        <w:rPr>
          <w:rFonts w:hint="eastAsia" w:ascii="仿宋" w:hAnsi="仿宋" w:eastAsia="仿宋" w:cs="仿宋"/>
          <w:b w:val="0"/>
          <w:bCs w:val="0"/>
          <w:sz w:val="30"/>
          <w:szCs w:val="30"/>
        </w:rPr>
      </w:pPr>
    </w:p>
    <w:p>
      <w:pPr>
        <w:keepNext w:val="0"/>
        <w:keepLines w:val="0"/>
        <w:pageBreakBefore w:val="0"/>
        <w:widowControl/>
        <w:numPr>
          <w:ilvl w:val="0"/>
          <w:numId w:val="0"/>
        </w:numPr>
        <w:kinsoku/>
        <w:wordWrap/>
        <w:overflowPunct/>
        <w:topLinePunct w:val="0"/>
        <w:autoSpaceDE/>
        <w:autoSpaceDN/>
        <w:bidi w:val="0"/>
        <w:adjustRightInd/>
        <w:snapToGrid w:val="0"/>
        <w:spacing w:before="441" w:beforeLines="100" w:after="221" w:afterLines="50" w:line="560" w:lineRule="exact"/>
        <w:jc w:val="left"/>
        <w:textAlignment w:val="auto"/>
        <w:rPr>
          <w:rFonts w:hint="eastAsia" w:ascii="仿宋" w:hAnsi="仿宋" w:eastAsia="仿宋" w:cs="仿宋"/>
          <w:b w:val="0"/>
          <w:bCs w:val="0"/>
          <w:sz w:val="30"/>
          <w:szCs w:val="30"/>
        </w:rPr>
      </w:pPr>
    </w:p>
    <w:p>
      <w:pPr>
        <w:keepNext w:val="0"/>
        <w:keepLines w:val="0"/>
        <w:pageBreakBefore w:val="0"/>
        <w:widowControl/>
        <w:numPr>
          <w:ilvl w:val="0"/>
          <w:numId w:val="0"/>
        </w:numPr>
        <w:kinsoku/>
        <w:wordWrap/>
        <w:overflowPunct/>
        <w:topLinePunct w:val="0"/>
        <w:autoSpaceDE/>
        <w:autoSpaceDN/>
        <w:bidi w:val="0"/>
        <w:adjustRightInd/>
        <w:snapToGrid w:val="0"/>
        <w:spacing w:before="441" w:beforeLines="100" w:after="221" w:afterLines="50" w:line="560" w:lineRule="exact"/>
        <w:jc w:val="left"/>
        <w:textAlignment w:val="auto"/>
        <w:rPr>
          <w:rFonts w:hint="eastAsia" w:ascii="仿宋" w:hAnsi="仿宋" w:eastAsia="仿宋" w:cs="仿宋"/>
          <w:b w:val="0"/>
          <w:bCs w:val="0"/>
          <w:sz w:val="30"/>
          <w:szCs w:val="30"/>
        </w:rPr>
      </w:pPr>
    </w:p>
    <w:p>
      <w:pPr>
        <w:keepNext w:val="0"/>
        <w:keepLines w:val="0"/>
        <w:pageBreakBefore w:val="0"/>
        <w:widowControl/>
        <w:numPr>
          <w:ilvl w:val="0"/>
          <w:numId w:val="0"/>
        </w:numPr>
        <w:kinsoku/>
        <w:wordWrap/>
        <w:overflowPunct/>
        <w:topLinePunct w:val="0"/>
        <w:autoSpaceDE/>
        <w:autoSpaceDN/>
        <w:bidi w:val="0"/>
        <w:adjustRightInd/>
        <w:snapToGrid w:val="0"/>
        <w:spacing w:before="441" w:beforeLines="100" w:after="221" w:afterLines="50" w:line="560" w:lineRule="exact"/>
        <w:jc w:val="left"/>
        <w:textAlignment w:val="auto"/>
        <w:rPr>
          <w:rFonts w:hint="eastAsia" w:ascii="仿宋" w:hAnsi="仿宋" w:eastAsia="仿宋" w:cs="仿宋"/>
          <w:b w:val="0"/>
          <w:bCs w:val="0"/>
          <w:sz w:val="30"/>
          <w:szCs w:val="30"/>
        </w:rPr>
      </w:pPr>
    </w:p>
    <w:p>
      <w:pPr>
        <w:keepNext w:val="0"/>
        <w:keepLines w:val="0"/>
        <w:pageBreakBefore w:val="0"/>
        <w:widowControl/>
        <w:numPr>
          <w:ilvl w:val="0"/>
          <w:numId w:val="0"/>
        </w:numPr>
        <w:kinsoku/>
        <w:wordWrap/>
        <w:overflowPunct/>
        <w:topLinePunct w:val="0"/>
        <w:autoSpaceDE/>
        <w:autoSpaceDN/>
        <w:bidi w:val="0"/>
        <w:adjustRightInd/>
        <w:snapToGrid w:val="0"/>
        <w:spacing w:before="441" w:beforeLines="100" w:after="221" w:afterLines="50" w:line="560" w:lineRule="exact"/>
        <w:jc w:val="left"/>
        <w:textAlignment w:val="auto"/>
        <w:rPr>
          <w:rFonts w:hint="eastAsia" w:ascii="仿宋" w:hAnsi="仿宋" w:eastAsia="仿宋" w:cs="仿宋"/>
          <w:b w:val="0"/>
          <w:bCs w:val="0"/>
          <w:sz w:val="30"/>
          <w:szCs w:val="30"/>
        </w:rPr>
      </w:pPr>
    </w:p>
    <w:p>
      <w:pPr>
        <w:keepNext w:val="0"/>
        <w:keepLines w:val="0"/>
        <w:pageBreakBefore w:val="0"/>
        <w:widowControl/>
        <w:numPr>
          <w:ilvl w:val="0"/>
          <w:numId w:val="0"/>
        </w:numPr>
        <w:kinsoku/>
        <w:wordWrap/>
        <w:overflowPunct/>
        <w:topLinePunct w:val="0"/>
        <w:autoSpaceDE/>
        <w:autoSpaceDN/>
        <w:bidi w:val="0"/>
        <w:adjustRightInd/>
        <w:snapToGrid w:val="0"/>
        <w:spacing w:before="441" w:beforeLines="100" w:after="221" w:afterLines="50" w:line="560" w:lineRule="exact"/>
        <w:jc w:val="left"/>
        <w:textAlignment w:val="auto"/>
        <w:rPr>
          <w:rFonts w:hint="eastAsia" w:ascii="仿宋" w:hAnsi="仿宋" w:eastAsia="仿宋" w:cs="仿宋"/>
          <w:b w:val="0"/>
          <w:bCs w:val="0"/>
          <w:sz w:val="30"/>
          <w:szCs w:val="30"/>
        </w:rPr>
      </w:pPr>
    </w:p>
    <w:p>
      <w:pPr>
        <w:keepNext w:val="0"/>
        <w:keepLines w:val="0"/>
        <w:pageBreakBefore w:val="0"/>
        <w:widowControl/>
        <w:numPr>
          <w:ilvl w:val="0"/>
          <w:numId w:val="0"/>
        </w:numPr>
        <w:kinsoku/>
        <w:wordWrap/>
        <w:overflowPunct/>
        <w:topLinePunct w:val="0"/>
        <w:autoSpaceDE/>
        <w:autoSpaceDN/>
        <w:bidi w:val="0"/>
        <w:adjustRightInd/>
        <w:snapToGrid w:val="0"/>
        <w:spacing w:before="441" w:beforeLines="100" w:after="221" w:afterLines="50" w:line="560" w:lineRule="exact"/>
        <w:jc w:val="left"/>
        <w:textAlignment w:val="auto"/>
        <w:rPr>
          <w:rFonts w:hint="eastAsia" w:ascii="仿宋" w:hAnsi="仿宋" w:eastAsia="仿宋" w:cs="仿宋"/>
          <w:b w:val="0"/>
          <w:bCs w:val="0"/>
          <w:sz w:val="30"/>
          <w:szCs w:val="30"/>
        </w:rPr>
      </w:pPr>
    </w:p>
    <w:p>
      <w:pPr>
        <w:keepNext w:val="0"/>
        <w:keepLines w:val="0"/>
        <w:pageBreakBefore w:val="0"/>
        <w:widowControl/>
        <w:numPr>
          <w:ilvl w:val="0"/>
          <w:numId w:val="0"/>
        </w:numPr>
        <w:kinsoku/>
        <w:wordWrap/>
        <w:overflowPunct/>
        <w:topLinePunct w:val="0"/>
        <w:autoSpaceDE/>
        <w:autoSpaceDN/>
        <w:bidi w:val="0"/>
        <w:adjustRightInd/>
        <w:snapToGrid w:val="0"/>
        <w:spacing w:before="441" w:beforeLines="100" w:after="221" w:afterLines="50" w:line="560" w:lineRule="exact"/>
        <w:jc w:val="left"/>
        <w:textAlignment w:val="auto"/>
        <w:rPr>
          <w:rFonts w:hint="eastAsia" w:ascii="仿宋" w:hAnsi="仿宋" w:eastAsia="仿宋" w:cs="仿宋"/>
          <w:b w:val="0"/>
          <w:bCs w:val="0"/>
          <w:sz w:val="30"/>
          <w:szCs w:val="30"/>
        </w:rPr>
      </w:pPr>
    </w:p>
    <w:p>
      <w:pPr>
        <w:ind w:left="0" w:leftChars="0" w:firstLine="496" w:firstLineChars="201"/>
        <w:rPr>
          <w:rFonts w:hint="eastAsia" w:ascii="仿宋" w:hAnsi="仿宋" w:eastAsia="仿宋" w:cs="仿宋"/>
          <w:b/>
          <w:bCs/>
          <w:sz w:val="24"/>
          <w:szCs w:val="24"/>
        </w:rPr>
      </w:pPr>
      <w:bookmarkStart w:id="0" w:name="_GoBack"/>
      <w:bookmarkEnd w:id="0"/>
    </w:p>
    <w:sectPr>
      <w:footerReference r:id="rId7" w:type="first"/>
      <w:headerReference r:id="rId3" w:type="default"/>
      <w:footerReference r:id="rId5" w:type="default"/>
      <w:headerReference r:id="rId4" w:type="even"/>
      <w:footerReference r:id="rId6" w:type="even"/>
      <w:pgSz w:w="11906" w:h="16838"/>
      <w:pgMar w:top="1778" w:right="1474" w:bottom="1620" w:left="1587" w:header="1191" w:footer="1191" w:gutter="0"/>
      <w:pgBorders>
        <w:top w:val="none" w:sz="0" w:space="0"/>
        <w:left w:val="none" w:sz="0" w:space="0"/>
        <w:bottom w:val="none" w:sz="0" w:space="0"/>
        <w:right w:val="none" w:sz="0" w:space="0"/>
      </w:pgBorders>
      <w:pgNumType w:fmt="decimal"/>
      <w:cols w:space="0" w:num="1"/>
      <w:rtlGutter w:val="0"/>
      <w:docGrid w:type="linesAndChars" w:linePitch="439" w:charSpace="1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方正仿宋_GB2312">
    <w:altName w:val="仿宋"/>
    <w:panose1 w:val="02000000000000000000"/>
    <w:charset w:val="86"/>
    <w:family w:val="auto"/>
    <w:pitch w:val="default"/>
    <w:sig w:usb0="00000000" w:usb1="00000000" w:usb2="00000012"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0"/>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 </w:t>
                          </w:r>
                          <w:r>
                            <w:fldChar w:fldCharType="begin"/>
                          </w:r>
                          <w:r>
                            <w:instrText xml:space="preserve"> PAGE  \* MERGEFORMAT </w:instrText>
                          </w:r>
                          <w:r>
                            <w:fldChar w:fldCharType="separate"/>
                          </w:r>
                          <w:r>
                            <w:t>2</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0"/>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6D8E8C"/>
    <w:multiLevelType w:val="singleLevel"/>
    <w:tmpl w:val="9A6D8E8C"/>
    <w:lvl w:ilvl="0" w:tentative="0">
      <w:start w:val="1"/>
      <w:numFmt w:val="chineseCounting"/>
      <w:suff w:val="nothing"/>
      <w:lvlText w:val="（%1）"/>
      <w:lvlJc w:val="left"/>
      <w:rPr>
        <w:rFonts w:hint="eastAsia"/>
      </w:rPr>
    </w:lvl>
  </w:abstractNum>
  <w:abstractNum w:abstractNumId="1">
    <w:nsid w:val="AA22CB98"/>
    <w:multiLevelType w:val="singleLevel"/>
    <w:tmpl w:val="AA22CB98"/>
    <w:lvl w:ilvl="0" w:tentative="0">
      <w:start w:val="1"/>
      <w:numFmt w:val="chineseCounting"/>
      <w:suff w:val="nothing"/>
      <w:lvlText w:val="（%1）"/>
      <w:lvlJc w:val="left"/>
      <w:rPr>
        <w:rFonts w:hint="eastAsia"/>
      </w:rPr>
    </w:lvl>
  </w:abstractNum>
  <w:abstractNum w:abstractNumId="2">
    <w:nsid w:val="AC447A27"/>
    <w:multiLevelType w:val="singleLevel"/>
    <w:tmpl w:val="AC447A27"/>
    <w:lvl w:ilvl="0" w:tentative="0">
      <w:start w:val="1"/>
      <w:numFmt w:val="chineseCounting"/>
      <w:suff w:val="nothing"/>
      <w:lvlText w:val="（%1）"/>
      <w:lvlJc w:val="left"/>
      <w:pPr>
        <w:ind w:left="4"/>
      </w:pPr>
      <w:rPr>
        <w:rFonts w:hint="eastAsia"/>
      </w:rPr>
    </w:lvl>
  </w:abstractNum>
  <w:abstractNum w:abstractNumId="3">
    <w:nsid w:val="BE0B4254"/>
    <w:multiLevelType w:val="singleLevel"/>
    <w:tmpl w:val="BE0B4254"/>
    <w:lvl w:ilvl="0" w:tentative="0">
      <w:start w:val="1"/>
      <w:numFmt w:val="chineseCounting"/>
      <w:suff w:val="nothing"/>
      <w:lvlText w:val="（%1）"/>
      <w:lvlJc w:val="left"/>
      <w:rPr>
        <w:rFonts w:hint="eastAsia"/>
      </w:rPr>
    </w:lvl>
  </w:abstractNum>
  <w:abstractNum w:abstractNumId="4">
    <w:nsid w:val="CF48A0AD"/>
    <w:multiLevelType w:val="singleLevel"/>
    <w:tmpl w:val="CF48A0AD"/>
    <w:lvl w:ilvl="0" w:tentative="0">
      <w:start w:val="1"/>
      <w:numFmt w:val="chineseCounting"/>
      <w:suff w:val="nothing"/>
      <w:lvlText w:val="（%1）"/>
      <w:lvlJc w:val="left"/>
      <w:rPr>
        <w:rFonts w:hint="eastAsia"/>
      </w:rPr>
    </w:lvl>
  </w:abstractNum>
  <w:abstractNum w:abstractNumId="5">
    <w:nsid w:val="CF5CE57A"/>
    <w:multiLevelType w:val="singleLevel"/>
    <w:tmpl w:val="CF5CE57A"/>
    <w:lvl w:ilvl="0" w:tentative="0">
      <w:start w:val="1"/>
      <w:numFmt w:val="chineseCounting"/>
      <w:suff w:val="nothing"/>
      <w:lvlText w:val="（%1）"/>
      <w:lvlJc w:val="left"/>
      <w:rPr>
        <w:rFonts w:hint="eastAsia"/>
      </w:rPr>
    </w:lvl>
  </w:abstractNum>
  <w:abstractNum w:abstractNumId="6">
    <w:nsid w:val="CF9EF26D"/>
    <w:multiLevelType w:val="singleLevel"/>
    <w:tmpl w:val="CF9EF26D"/>
    <w:lvl w:ilvl="0" w:tentative="0">
      <w:start w:val="1"/>
      <w:numFmt w:val="bullet"/>
      <w:lvlText w:val=""/>
      <w:lvlJc w:val="left"/>
      <w:pPr>
        <w:ind w:left="420" w:hanging="420"/>
      </w:pPr>
      <w:rPr>
        <w:rFonts w:hint="default" w:ascii="Wingdings" w:hAnsi="Wingdings"/>
      </w:rPr>
    </w:lvl>
  </w:abstractNum>
  <w:abstractNum w:abstractNumId="7">
    <w:nsid w:val="D57DBF51"/>
    <w:multiLevelType w:val="singleLevel"/>
    <w:tmpl w:val="D57DBF51"/>
    <w:lvl w:ilvl="0" w:tentative="0">
      <w:start w:val="1"/>
      <w:numFmt w:val="chineseCounting"/>
      <w:suff w:val="nothing"/>
      <w:lvlText w:val="（%1）"/>
      <w:lvlJc w:val="left"/>
      <w:rPr>
        <w:rFonts w:hint="eastAsia"/>
      </w:rPr>
    </w:lvl>
  </w:abstractNum>
  <w:abstractNum w:abstractNumId="8">
    <w:nsid w:val="D8D45378"/>
    <w:multiLevelType w:val="singleLevel"/>
    <w:tmpl w:val="D8D45378"/>
    <w:lvl w:ilvl="0" w:tentative="0">
      <w:start w:val="1"/>
      <w:numFmt w:val="bullet"/>
      <w:lvlText w:val=""/>
      <w:lvlJc w:val="left"/>
      <w:pPr>
        <w:ind w:left="420" w:hanging="420"/>
      </w:pPr>
      <w:rPr>
        <w:rFonts w:hint="default" w:ascii="Wingdings" w:hAnsi="Wingdings"/>
      </w:rPr>
    </w:lvl>
  </w:abstractNum>
  <w:abstractNum w:abstractNumId="9">
    <w:nsid w:val="F411C154"/>
    <w:multiLevelType w:val="singleLevel"/>
    <w:tmpl w:val="F411C154"/>
    <w:lvl w:ilvl="0" w:tentative="0">
      <w:start w:val="1"/>
      <w:numFmt w:val="chineseCounting"/>
      <w:suff w:val="nothing"/>
      <w:lvlText w:val="（%1）"/>
      <w:lvlJc w:val="left"/>
      <w:rPr>
        <w:rFonts w:hint="eastAsia"/>
      </w:rPr>
    </w:lvl>
  </w:abstractNum>
  <w:abstractNum w:abstractNumId="10">
    <w:nsid w:val="FB130510"/>
    <w:multiLevelType w:val="singleLevel"/>
    <w:tmpl w:val="FB130510"/>
    <w:lvl w:ilvl="0" w:tentative="0">
      <w:start w:val="1"/>
      <w:numFmt w:val="chineseCounting"/>
      <w:suff w:val="nothing"/>
      <w:lvlText w:val="（%1）"/>
      <w:lvlJc w:val="left"/>
      <w:rPr>
        <w:rFonts w:hint="eastAsia"/>
      </w:rPr>
    </w:lvl>
  </w:abstractNum>
  <w:abstractNum w:abstractNumId="11">
    <w:nsid w:val="0329E8C9"/>
    <w:multiLevelType w:val="singleLevel"/>
    <w:tmpl w:val="0329E8C9"/>
    <w:lvl w:ilvl="0" w:tentative="0">
      <w:start w:val="1"/>
      <w:numFmt w:val="chineseCounting"/>
      <w:suff w:val="nothing"/>
      <w:lvlText w:val="（%1）"/>
      <w:lvlJc w:val="left"/>
      <w:rPr>
        <w:rFonts w:hint="eastAsia"/>
      </w:rPr>
    </w:lvl>
  </w:abstractNum>
  <w:abstractNum w:abstractNumId="12">
    <w:nsid w:val="317DB165"/>
    <w:multiLevelType w:val="singleLevel"/>
    <w:tmpl w:val="317DB165"/>
    <w:lvl w:ilvl="0" w:tentative="0">
      <w:start w:val="1"/>
      <w:numFmt w:val="chineseCounting"/>
      <w:suff w:val="nothing"/>
      <w:lvlText w:val="（%1）"/>
      <w:lvlJc w:val="left"/>
      <w:rPr>
        <w:rFonts w:hint="eastAsia"/>
      </w:rPr>
    </w:lvl>
  </w:abstractNum>
  <w:abstractNum w:abstractNumId="13">
    <w:nsid w:val="382F85B8"/>
    <w:multiLevelType w:val="singleLevel"/>
    <w:tmpl w:val="382F85B8"/>
    <w:lvl w:ilvl="0" w:tentative="0">
      <w:start w:val="1"/>
      <w:numFmt w:val="chineseCounting"/>
      <w:suff w:val="nothing"/>
      <w:lvlText w:val="（%1）"/>
      <w:lvlJc w:val="left"/>
      <w:rPr>
        <w:rFonts w:hint="eastAsia"/>
      </w:rPr>
    </w:lvl>
  </w:abstractNum>
  <w:abstractNum w:abstractNumId="14">
    <w:nsid w:val="3D6673D1"/>
    <w:multiLevelType w:val="singleLevel"/>
    <w:tmpl w:val="3D6673D1"/>
    <w:lvl w:ilvl="0" w:tentative="0">
      <w:start w:val="1"/>
      <w:numFmt w:val="chineseCounting"/>
      <w:suff w:val="nothing"/>
      <w:lvlText w:val="（%1）"/>
      <w:lvlJc w:val="left"/>
      <w:rPr>
        <w:rFonts w:hint="eastAsia"/>
      </w:rPr>
    </w:lvl>
  </w:abstractNum>
  <w:abstractNum w:abstractNumId="15">
    <w:nsid w:val="5A80080A"/>
    <w:multiLevelType w:val="singleLevel"/>
    <w:tmpl w:val="5A80080A"/>
    <w:lvl w:ilvl="0" w:tentative="0">
      <w:start w:val="1"/>
      <w:numFmt w:val="chineseCounting"/>
      <w:suff w:val="nothing"/>
      <w:lvlText w:val="（%1）"/>
      <w:lvlJc w:val="left"/>
      <w:rPr>
        <w:rFonts w:hint="eastAsia"/>
      </w:rPr>
    </w:lvl>
  </w:abstractNum>
  <w:abstractNum w:abstractNumId="16">
    <w:nsid w:val="7E90C586"/>
    <w:multiLevelType w:val="singleLevel"/>
    <w:tmpl w:val="7E90C586"/>
    <w:lvl w:ilvl="0" w:tentative="0">
      <w:start w:val="1"/>
      <w:numFmt w:val="chineseCounting"/>
      <w:suff w:val="nothing"/>
      <w:lvlText w:val="（%1）"/>
      <w:lvlJc w:val="left"/>
      <w:rPr>
        <w:rFonts w:hint="eastAsia"/>
      </w:rPr>
    </w:lvl>
  </w:abstractNum>
  <w:num w:numId="1">
    <w:abstractNumId w:val="16"/>
  </w:num>
  <w:num w:numId="2">
    <w:abstractNumId w:val="8"/>
  </w:num>
  <w:num w:numId="3">
    <w:abstractNumId w:val="3"/>
  </w:num>
  <w:num w:numId="4">
    <w:abstractNumId w:val="15"/>
  </w:num>
  <w:num w:numId="5">
    <w:abstractNumId w:val="1"/>
  </w:num>
  <w:num w:numId="6">
    <w:abstractNumId w:val="9"/>
  </w:num>
  <w:num w:numId="7">
    <w:abstractNumId w:val="13"/>
  </w:num>
  <w:num w:numId="8">
    <w:abstractNumId w:val="6"/>
  </w:num>
  <w:num w:numId="9">
    <w:abstractNumId w:val="10"/>
  </w:num>
  <w:num w:numId="10">
    <w:abstractNumId w:val="14"/>
  </w:num>
  <w:num w:numId="11">
    <w:abstractNumId w:val="4"/>
  </w:num>
  <w:num w:numId="12">
    <w:abstractNumId w:val="7"/>
  </w:num>
  <w:num w:numId="13">
    <w:abstractNumId w:val="12"/>
  </w:num>
  <w:num w:numId="14">
    <w:abstractNumId w:val="5"/>
  </w:num>
  <w:num w:numId="15">
    <w:abstractNumId w:val="11"/>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64"/>
  <w:drawingGridVerticalSpacing w:val="22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I3MDQ5MGZjNzI0ZmY3MmYwOGQ3MTg3NGVmOGJlMDAifQ=="/>
    <w:docVar w:name="KSO_WPS_MARK_KEY" w:val="83222b78-2bf8-4625-868c-3d7e0e4304d5"/>
  </w:docVars>
  <w:rsids>
    <w:rsidRoot w:val="009B183B"/>
    <w:rsid w:val="00001EE8"/>
    <w:rsid w:val="000035EE"/>
    <w:rsid w:val="00004602"/>
    <w:rsid w:val="00004C63"/>
    <w:rsid w:val="00007441"/>
    <w:rsid w:val="000075CC"/>
    <w:rsid w:val="0001080F"/>
    <w:rsid w:val="00012146"/>
    <w:rsid w:val="00013213"/>
    <w:rsid w:val="0001386D"/>
    <w:rsid w:val="00013F85"/>
    <w:rsid w:val="000165FD"/>
    <w:rsid w:val="000202F9"/>
    <w:rsid w:val="00020BAF"/>
    <w:rsid w:val="000222F7"/>
    <w:rsid w:val="00022FDC"/>
    <w:rsid w:val="00024B71"/>
    <w:rsid w:val="00024BFD"/>
    <w:rsid w:val="0002513F"/>
    <w:rsid w:val="000258F4"/>
    <w:rsid w:val="00026613"/>
    <w:rsid w:val="0002685A"/>
    <w:rsid w:val="00026EAD"/>
    <w:rsid w:val="000275DF"/>
    <w:rsid w:val="00027603"/>
    <w:rsid w:val="000321E0"/>
    <w:rsid w:val="00032EA6"/>
    <w:rsid w:val="00033695"/>
    <w:rsid w:val="000358F3"/>
    <w:rsid w:val="000362DF"/>
    <w:rsid w:val="00036D09"/>
    <w:rsid w:val="00037DF7"/>
    <w:rsid w:val="00041E2B"/>
    <w:rsid w:val="00042299"/>
    <w:rsid w:val="00042493"/>
    <w:rsid w:val="00042F91"/>
    <w:rsid w:val="000442C6"/>
    <w:rsid w:val="000451FA"/>
    <w:rsid w:val="00045486"/>
    <w:rsid w:val="0004626D"/>
    <w:rsid w:val="00051505"/>
    <w:rsid w:val="0005194D"/>
    <w:rsid w:val="000522A6"/>
    <w:rsid w:val="00052AFF"/>
    <w:rsid w:val="00053C28"/>
    <w:rsid w:val="00060E2C"/>
    <w:rsid w:val="0006513C"/>
    <w:rsid w:val="0006553E"/>
    <w:rsid w:val="00067AF2"/>
    <w:rsid w:val="00067F33"/>
    <w:rsid w:val="00070EA9"/>
    <w:rsid w:val="000714B8"/>
    <w:rsid w:val="000716EF"/>
    <w:rsid w:val="00072138"/>
    <w:rsid w:val="00073989"/>
    <w:rsid w:val="000741B0"/>
    <w:rsid w:val="000747B4"/>
    <w:rsid w:val="00080E05"/>
    <w:rsid w:val="00081401"/>
    <w:rsid w:val="000846FD"/>
    <w:rsid w:val="00084A19"/>
    <w:rsid w:val="000866F6"/>
    <w:rsid w:val="0008677A"/>
    <w:rsid w:val="00087CBA"/>
    <w:rsid w:val="00087E2D"/>
    <w:rsid w:val="00090492"/>
    <w:rsid w:val="0009117F"/>
    <w:rsid w:val="0009246A"/>
    <w:rsid w:val="00094731"/>
    <w:rsid w:val="00094E53"/>
    <w:rsid w:val="00096616"/>
    <w:rsid w:val="000979FD"/>
    <w:rsid w:val="000A09A5"/>
    <w:rsid w:val="000A18A3"/>
    <w:rsid w:val="000A19F9"/>
    <w:rsid w:val="000A1B31"/>
    <w:rsid w:val="000A1D0C"/>
    <w:rsid w:val="000A35BD"/>
    <w:rsid w:val="000A38AF"/>
    <w:rsid w:val="000A3A63"/>
    <w:rsid w:val="000A5002"/>
    <w:rsid w:val="000A5AE8"/>
    <w:rsid w:val="000B0DC1"/>
    <w:rsid w:val="000B2C14"/>
    <w:rsid w:val="000B3A75"/>
    <w:rsid w:val="000B54AF"/>
    <w:rsid w:val="000B5B06"/>
    <w:rsid w:val="000B5D34"/>
    <w:rsid w:val="000B725A"/>
    <w:rsid w:val="000C034A"/>
    <w:rsid w:val="000C11AE"/>
    <w:rsid w:val="000C199B"/>
    <w:rsid w:val="000C35DE"/>
    <w:rsid w:val="000C37BB"/>
    <w:rsid w:val="000C50FB"/>
    <w:rsid w:val="000C55E2"/>
    <w:rsid w:val="000C6AE0"/>
    <w:rsid w:val="000C7A55"/>
    <w:rsid w:val="000D214C"/>
    <w:rsid w:val="000D2E11"/>
    <w:rsid w:val="000D3038"/>
    <w:rsid w:val="000D488F"/>
    <w:rsid w:val="000D7A42"/>
    <w:rsid w:val="000E0321"/>
    <w:rsid w:val="000E0579"/>
    <w:rsid w:val="000E2681"/>
    <w:rsid w:val="000E583A"/>
    <w:rsid w:val="000F0921"/>
    <w:rsid w:val="000F3A0F"/>
    <w:rsid w:val="000F4A27"/>
    <w:rsid w:val="000F68D6"/>
    <w:rsid w:val="000F7A29"/>
    <w:rsid w:val="00100DA0"/>
    <w:rsid w:val="0010216A"/>
    <w:rsid w:val="001024FC"/>
    <w:rsid w:val="00103A57"/>
    <w:rsid w:val="0010640F"/>
    <w:rsid w:val="0011132B"/>
    <w:rsid w:val="00111F41"/>
    <w:rsid w:val="00112184"/>
    <w:rsid w:val="001122B1"/>
    <w:rsid w:val="00116DD1"/>
    <w:rsid w:val="00117B33"/>
    <w:rsid w:val="00120C6D"/>
    <w:rsid w:val="00121924"/>
    <w:rsid w:val="00122228"/>
    <w:rsid w:val="00122BFC"/>
    <w:rsid w:val="00126A6E"/>
    <w:rsid w:val="00127238"/>
    <w:rsid w:val="001277C2"/>
    <w:rsid w:val="001308CF"/>
    <w:rsid w:val="001324CA"/>
    <w:rsid w:val="0013331E"/>
    <w:rsid w:val="001348D8"/>
    <w:rsid w:val="001359C0"/>
    <w:rsid w:val="00136660"/>
    <w:rsid w:val="00137D69"/>
    <w:rsid w:val="00137DC8"/>
    <w:rsid w:val="0014132E"/>
    <w:rsid w:val="00143015"/>
    <w:rsid w:val="00144709"/>
    <w:rsid w:val="00144C7B"/>
    <w:rsid w:val="00146447"/>
    <w:rsid w:val="00146A65"/>
    <w:rsid w:val="00146B08"/>
    <w:rsid w:val="0014783D"/>
    <w:rsid w:val="001540AE"/>
    <w:rsid w:val="001552D8"/>
    <w:rsid w:val="00155377"/>
    <w:rsid w:val="00160263"/>
    <w:rsid w:val="00160D42"/>
    <w:rsid w:val="00166EF7"/>
    <w:rsid w:val="00167A4B"/>
    <w:rsid w:val="001734C1"/>
    <w:rsid w:val="00173BAA"/>
    <w:rsid w:val="00173DFE"/>
    <w:rsid w:val="00174933"/>
    <w:rsid w:val="00180C3D"/>
    <w:rsid w:val="00182169"/>
    <w:rsid w:val="001823CF"/>
    <w:rsid w:val="001824D9"/>
    <w:rsid w:val="0018346D"/>
    <w:rsid w:val="001834F4"/>
    <w:rsid w:val="00183B37"/>
    <w:rsid w:val="00183C44"/>
    <w:rsid w:val="0018402B"/>
    <w:rsid w:val="00186078"/>
    <w:rsid w:val="00186137"/>
    <w:rsid w:val="00186AE1"/>
    <w:rsid w:val="00193513"/>
    <w:rsid w:val="00194167"/>
    <w:rsid w:val="00194250"/>
    <w:rsid w:val="00194AA7"/>
    <w:rsid w:val="001A00A5"/>
    <w:rsid w:val="001A027E"/>
    <w:rsid w:val="001A0811"/>
    <w:rsid w:val="001A0BAC"/>
    <w:rsid w:val="001A1C84"/>
    <w:rsid w:val="001A202E"/>
    <w:rsid w:val="001A5F20"/>
    <w:rsid w:val="001A645A"/>
    <w:rsid w:val="001A6C06"/>
    <w:rsid w:val="001A7878"/>
    <w:rsid w:val="001A7BD9"/>
    <w:rsid w:val="001A7D81"/>
    <w:rsid w:val="001B2586"/>
    <w:rsid w:val="001B27C0"/>
    <w:rsid w:val="001B4146"/>
    <w:rsid w:val="001B4532"/>
    <w:rsid w:val="001B7ECD"/>
    <w:rsid w:val="001C044C"/>
    <w:rsid w:val="001C1087"/>
    <w:rsid w:val="001C2E2E"/>
    <w:rsid w:val="001C3BF7"/>
    <w:rsid w:val="001C43F6"/>
    <w:rsid w:val="001C4846"/>
    <w:rsid w:val="001C6017"/>
    <w:rsid w:val="001C6925"/>
    <w:rsid w:val="001C7165"/>
    <w:rsid w:val="001C7E4B"/>
    <w:rsid w:val="001D09B6"/>
    <w:rsid w:val="001D164F"/>
    <w:rsid w:val="001D256C"/>
    <w:rsid w:val="001D43AC"/>
    <w:rsid w:val="001D443D"/>
    <w:rsid w:val="001D4E73"/>
    <w:rsid w:val="001D51C0"/>
    <w:rsid w:val="001D52E8"/>
    <w:rsid w:val="001D62A0"/>
    <w:rsid w:val="001D6D56"/>
    <w:rsid w:val="001D6DCA"/>
    <w:rsid w:val="001D72E4"/>
    <w:rsid w:val="001D741B"/>
    <w:rsid w:val="001D7992"/>
    <w:rsid w:val="001E1D04"/>
    <w:rsid w:val="001E28B0"/>
    <w:rsid w:val="001E3F89"/>
    <w:rsid w:val="001E447E"/>
    <w:rsid w:val="001E5014"/>
    <w:rsid w:val="001E7C7F"/>
    <w:rsid w:val="001E7D65"/>
    <w:rsid w:val="001F12F2"/>
    <w:rsid w:val="001F2921"/>
    <w:rsid w:val="001F3265"/>
    <w:rsid w:val="001F3EAA"/>
    <w:rsid w:val="001F4525"/>
    <w:rsid w:val="001F46FB"/>
    <w:rsid w:val="001F52A4"/>
    <w:rsid w:val="001F74BD"/>
    <w:rsid w:val="002002BB"/>
    <w:rsid w:val="00200A5A"/>
    <w:rsid w:val="00202825"/>
    <w:rsid w:val="00203913"/>
    <w:rsid w:val="00203A32"/>
    <w:rsid w:val="0020413F"/>
    <w:rsid w:val="00205F58"/>
    <w:rsid w:val="0020617E"/>
    <w:rsid w:val="00206516"/>
    <w:rsid w:val="00210244"/>
    <w:rsid w:val="00210329"/>
    <w:rsid w:val="00210C98"/>
    <w:rsid w:val="00212B74"/>
    <w:rsid w:val="0021323D"/>
    <w:rsid w:val="00214992"/>
    <w:rsid w:val="00215104"/>
    <w:rsid w:val="0021524F"/>
    <w:rsid w:val="002152DD"/>
    <w:rsid w:val="00215C2A"/>
    <w:rsid w:val="00216289"/>
    <w:rsid w:val="00223B58"/>
    <w:rsid w:val="002241DD"/>
    <w:rsid w:val="0022518B"/>
    <w:rsid w:val="00225C0F"/>
    <w:rsid w:val="002271D5"/>
    <w:rsid w:val="00227251"/>
    <w:rsid w:val="0023012A"/>
    <w:rsid w:val="0023168F"/>
    <w:rsid w:val="00233FCA"/>
    <w:rsid w:val="00234FC5"/>
    <w:rsid w:val="00235363"/>
    <w:rsid w:val="00235472"/>
    <w:rsid w:val="00236044"/>
    <w:rsid w:val="00236C76"/>
    <w:rsid w:val="00236F46"/>
    <w:rsid w:val="002400A8"/>
    <w:rsid w:val="002440C0"/>
    <w:rsid w:val="0024740D"/>
    <w:rsid w:val="00250EC1"/>
    <w:rsid w:val="00252419"/>
    <w:rsid w:val="0025308B"/>
    <w:rsid w:val="00254B07"/>
    <w:rsid w:val="00256003"/>
    <w:rsid w:val="00256FA1"/>
    <w:rsid w:val="00257D0E"/>
    <w:rsid w:val="00257E05"/>
    <w:rsid w:val="0026090E"/>
    <w:rsid w:val="00262450"/>
    <w:rsid w:val="002628F6"/>
    <w:rsid w:val="002638A1"/>
    <w:rsid w:val="002662A5"/>
    <w:rsid w:val="00267EB0"/>
    <w:rsid w:val="00270F46"/>
    <w:rsid w:val="00271870"/>
    <w:rsid w:val="00273257"/>
    <w:rsid w:val="00275980"/>
    <w:rsid w:val="00275D72"/>
    <w:rsid w:val="0027730A"/>
    <w:rsid w:val="0027734C"/>
    <w:rsid w:val="00280918"/>
    <w:rsid w:val="0028166C"/>
    <w:rsid w:val="0028198D"/>
    <w:rsid w:val="002819F4"/>
    <w:rsid w:val="002822F3"/>
    <w:rsid w:val="0028349D"/>
    <w:rsid w:val="002900A0"/>
    <w:rsid w:val="00290411"/>
    <w:rsid w:val="00290553"/>
    <w:rsid w:val="00291A64"/>
    <w:rsid w:val="00292008"/>
    <w:rsid w:val="00294156"/>
    <w:rsid w:val="00295111"/>
    <w:rsid w:val="00295528"/>
    <w:rsid w:val="00297A56"/>
    <w:rsid w:val="002A02A6"/>
    <w:rsid w:val="002A11E4"/>
    <w:rsid w:val="002A2097"/>
    <w:rsid w:val="002A2212"/>
    <w:rsid w:val="002A3477"/>
    <w:rsid w:val="002A3D82"/>
    <w:rsid w:val="002B2226"/>
    <w:rsid w:val="002B27F6"/>
    <w:rsid w:val="002B2AAB"/>
    <w:rsid w:val="002B3868"/>
    <w:rsid w:val="002B436D"/>
    <w:rsid w:val="002B5562"/>
    <w:rsid w:val="002B5A0D"/>
    <w:rsid w:val="002B7397"/>
    <w:rsid w:val="002C0C9A"/>
    <w:rsid w:val="002C1060"/>
    <w:rsid w:val="002C1426"/>
    <w:rsid w:val="002C2089"/>
    <w:rsid w:val="002C220C"/>
    <w:rsid w:val="002C290E"/>
    <w:rsid w:val="002C5AA4"/>
    <w:rsid w:val="002C6465"/>
    <w:rsid w:val="002D06C4"/>
    <w:rsid w:val="002D182E"/>
    <w:rsid w:val="002D1850"/>
    <w:rsid w:val="002D263F"/>
    <w:rsid w:val="002D2821"/>
    <w:rsid w:val="002D28F3"/>
    <w:rsid w:val="002D3392"/>
    <w:rsid w:val="002D3EEB"/>
    <w:rsid w:val="002D4DA5"/>
    <w:rsid w:val="002D70B5"/>
    <w:rsid w:val="002E050D"/>
    <w:rsid w:val="002E0AD6"/>
    <w:rsid w:val="002E1FEE"/>
    <w:rsid w:val="002E211F"/>
    <w:rsid w:val="002E22D5"/>
    <w:rsid w:val="002E2DC3"/>
    <w:rsid w:val="002E3082"/>
    <w:rsid w:val="002E30B2"/>
    <w:rsid w:val="002E3627"/>
    <w:rsid w:val="002E4F57"/>
    <w:rsid w:val="002E5588"/>
    <w:rsid w:val="002E6146"/>
    <w:rsid w:val="002E65EC"/>
    <w:rsid w:val="002E703A"/>
    <w:rsid w:val="002F123F"/>
    <w:rsid w:val="002F2B44"/>
    <w:rsid w:val="002F2BA8"/>
    <w:rsid w:val="002F4854"/>
    <w:rsid w:val="002F50F9"/>
    <w:rsid w:val="002F649C"/>
    <w:rsid w:val="002F6DBB"/>
    <w:rsid w:val="00302435"/>
    <w:rsid w:val="00303126"/>
    <w:rsid w:val="0030663F"/>
    <w:rsid w:val="00307B43"/>
    <w:rsid w:val="0031006D"/>
    <w:rsid w:val="00310D48"/>
    <w:rsid w:val="00311939"/>
    <w:rsid w:val="00312A62"/>
    <w:rsid w:val="003139CC"/>
    <w:rsid w:val="00316B2F"/>
    <w:rsid w:val="00320175"/>
    <w:rsid w:val="00320719"/>
    <w:rsid w:val="00320AE2"/>
    <w:rsid w:val="003210B7"/>
    <w:rsid w:val="00321B79"/>
    <w:rsid w:val="00322293"/>
    <w:rsid w:val="003244A3"/>
    <w:rsid w:val="00325400"/>
    <w:rsid w:val="003261C9"/>
    <w:rsid w:val="00326448"/>
    <w:rsid w:val="00326A72"/>
    <w:rsid w:val="00326CB9"/>
    <w:rsid w:val="00326F8D"/>
    <w:rsid w:val="003314BE"/>
    <w:rsid w:val="003316D4"/>
    <w:rsid w:val="00331FEE"/>
    <w:rsid w:val="0033289E"/>
    <w:rsid w:val="00333B75"/>
    <w:rsid w:val="00334087"/>
    <w:rsid w:val="003343CA"/>
    <w:rsid w:val="00334EE4"/>
    <w:rsid w:val="00336207"/>
    <w:rsid w:val="00337CCF"/>
    <w:rsid w:val="00337F2D"/>
    <w:rsid w:val="00342834"/>
    <w:rsid w:val="00342BDE"/>
    <w:rsid w:val="00342C45"/>
    <w:rsid w:val="00347C8E"/>
    <w:rsid w:val="00351052"/>
    <w:rsid w:val="00351072"/>
    <w:rsid w:val="00351711"/>
    <w:rsid w:val="00355080"/>
    <w:rsid w:val="0035578D"/>
    <w:rsid w:val="00355978"/>
    <w:rsid w:val="00355E3E"/>
    <w:rsid w:val="00355E63"/>
    <w:rsid w:val="003571A3"/>
    <w:rsid w:val="00357C73"/>
    <w:rsid w:val="00360364"/>
    <w:rsid w:val="00360F19"/>
    <w:rsid w:val="003618EE"/>
    <w:rsid w:val="0036256A"/>
    <w:rsid w:val="00363D79"/>
    <w:rsid w:val="0036509C"/>
    <w:rsid w:val="00365311"/>
    <w:rsid w:val="003653CD"/>
    <w:rsid w:val="00366503"/>
    <w:rsid w:val="003669E5"/>
    <w:rsid w:val="00367F7F"/>
    <w:rsid w:val="00374AC8"/>
    <w:rsid w:val="003753AD"/>
    <w:rsid w:val="003754E1"/>
    <w:rsid w:val="00376A3B"/>
    <w:rsid w:val="003777F3"/>
    <w:rsid w:val="00377BB5"/>
    <w:rsid w:val="00380B8D"/>
    <w:rsid w:val="00380FDD"/>
    <w:rsid w:val="0038526A"/>
    <w:rsid w:val="003864EE"/>
    <w:rsid w:val="00387243"/>
    <w:rsid w:val="00387D3C"/>
    <w:rsid w:val="003906B7"/>
    <w:rsid w:val="003908EF"/>
    <w:rsid w:val="00392A7F"/>
    <w:rsid w:val="003939C0"/>
    <w:rsid w:val="003947F4"/>
    <w:rsid w:val="00394B2F"/>
    <w:rsid w:val="00395309"/>
    <w:rsid w:val="0039630F"/>
    <w:rsid w:val="00396603"/>
    <w:rsid w:val="00396F2C"/>
    <w:rsid w:val="003A0585"/>
    <w:rsid w:val="003A0EEA"/>
    <w:rsid w:val="003A1199"/>
    <w:rsid w:val="003A19CC"/>
    <w:rsid w:val="003A2EFF"/>
    <w:rsid w:val="003A419A"/>
    <w:rsid w:val="003A47D6"/>
    <w:rsid w:val="003A4BD2"/>
    <w:rsid w:val="003A4DB9"/>
    <w:rsid w:val="003A5215"/>
    <w:rsid w:val="003A64A3"/>
    <w:rsid w:val="003B27EB"/>
    <w:rsid w:val="003B5254"/>
    <w:rsid w:val="003B7D5B"/>
    <w:rsid w:val="003C4899"/>
    <w:rsid w:val="003C4A8C"/>
    <w:rsid w:val="003C53DA"/>
    <w:rsid w:val="003C7456"/>
    <w:rsid w:val="003D2C22"/>
    <w:rsid w:val="003D2C98"/>
    <w:rsid w:val="003D37EE"/>
    <w:rsid w:val="003D4FD7"/>
    <w:rsid w:val="003D50C6"/>
    <w:rsid w:val="003D5D2F"/>
    <w:rsid w:val="003D682A"/>
    <w:rsid w:val="003D68A0"/>
    <w:rsid w:val="003E0DE0"/>
    <w:rsid w:val="003E2568"/>
    <w:rsid w:val="003E4454"/>
    <w:rsid w:val="003E67A7"/>
    <w:rsid w:val="003E6F95"/>
    <w:rsid w:val="003F7414"/>
    <w:rsid w:val="003F7577"/>
    <w:rsid w:val="00400227"/>
    <w:rsid w:val="004010D2"/>
    <w:rsid w:val="0040278C"/>
    <w:rsid w:val="00402C73"/>
    <w:rsid w:val="00403396"/>
    <w:rsid w:val="00404460"/>
    <w:rsid w:val="004048DA"/>
    <w:rsid w:val="00404CAC"/>
    <w:rsid w:val="004068BC"/>
    <w:rsid w:val="0041043F"/>
    <w:rsid w:val="00414CBA"/>
    <w:rsid w:val="004154D5"/>
    <w:rsid w:val="00415E55"/>
    <w:rsid w:val="00415FE2"/>
    <w:rsid w:val="00420C6F"/>
    <w:rsid w:val="00420D0C"/>
    <w:rsid w:val="00423669"/>
    <w:rsid w:val="0042397D"/>
    <w:rsid w:val="00424004"/>
    <w:rsid w:val="0042483E"/>
    <w:rsid w:val="00424A45"/>
    <w:rsid w:val="0042637D"/>
    <w:rsid w:val="00426A66"/>
    <w:rsid w:val="004279E0"/>
    <w:rsid w:val="00431DD8"/>
    <w:rsid w:val="0043232C"/>
    <w:rsid w:val="00432CFF"/>
    <w:rsid w:val="004332DE"/>
    <w:rsid w:val="004363BB"/>
    <w:rsid w:val="00436766"/>
    <w:rsid w:val="00443895"/>
    <w:rsid w:val="00443A3A"/>
    <w:rsid w:val="00445088"/>
    <w:rsid w:val="004453D2"/>
    <w:rsid w:val="00447726"/>
    <w:rsid w:val="00450F33"/>
    <w:rsid w:val="00451B62"/>
    <w:rsid w:val="004522B1"/>
    <w:rsid w:val="004527AB"/>
    <w:rsid w:val="004565E9"/>
    <w:rsid w:val="0046022F"/>
    <w:rsid w:val="00461A7E"/>
    <w:rsid w:val="004622C8"/>
    <w:rsid w:val="00462CF4"/>
    <w:rsid w:val="00462EC7"/>
    <w:rsid w:val="00464258"/>
    <w:rsid w:val="004645D6"/>
    <w:rsid w:val="00465532"/>
    <w:rsid w:val="0046735A"/>
    <w:rsid w:val="0046769F"/>
    <w:rsid w:val="004709F0"/>
    <w:rsid w:val="00472AB8"/>
    <w:rsid w:val="00474409"/>
    <w:rsid w:val="0047468D"/>
    <w:rsid w:val="00477501"/>
    <w:rsid w:val="00477A1B"/>
    <w:rsid w:val="004815D4"/>
    <w:rsid w:val="00481B29"/>
    <w:rsid w:val="00485E2A"/>
    <w:rsid w:val="0049241C"/>
    <w:rsid w:val="00492F33"/>
    <w:rsid w:val="00493609"/>
    <w:rsid w:val="00495674"/>
    <w:rsid w:val="004960D5"/>
    <w:rsid w:val="0049614C"/>
    <w:rsid w:val="004970FB"/>
    <w:rsid w:val="004A129A"/>
    <w:rsid w:val="004A3A24"/>
    <w:rsid w:val="004A3D10"/>
    <w:rsid w:val="004A454B"/>
    <w:rsid w:val="004A4580"/>
    <w:rsid w:val="004A54B2"/>
    <w:rsid w:val="004A6375"/>
    <w:rsid w:val="004B033A"/>
    <w:rsid w:val="004B040B"/>
    <w:rsid w:val="004B0813"/>
    <w:rsid w:val="004B0EB8"/>
    <w:rsid w:val="004B3745"/>
    <w:rsid w:val="004B3B8B"/>
    <w:rsid w:val="004B3F23"/>
    <w:rsid w:val="004B4E0F"/>
    <w:rsid w:val="004B7101"/>
    <w:rsid w:val="004B72A0"/>
    <w:rsid w:val="004B74F5"/>
    <w:rsid w:val="004B755B"/>
    <w:rsid w:val="004B7C52"/>
    <w:rsid w:val="004C0062"/>
    <w:rsid w:val="004C1343"/>
    <w:rsid w:val="004C4170"/>
    <w:rsid w:val="004C5CE9"/>
    <w:rsid w:val="004C5D9E"/>
    <w:rsid w:val="004C6322"/>
    <w:rsid w:val="004C682D"/>
    <w:rsid w:val="004D1456"/>
    <w:rsid w:val="004D1EE4"/>
    <w:rsid w:val="004D2E3A"/>
    <w:rsid w:val="004D2EAA"/>
    <w:rsid w:val="004D312F"/>
    <w:rsid w:val="004D3D06"/>
    <w:rsid w:val="004D4A30"/>
    <w:rsid w:val="004D5281"/>
    <w:rsid w:val="004D56EC"/>
    <w:rsid w:val="004D5E78"/>
    <w:rsid w:val="004D63DD"/>
    <w:rsid w:val="004D678E"/>
    <w:rsid w:val="004D726E"/>
    <w:rsid w:val="004D74A7"/>
    <w:rsid w:val="004E0CFD"/>
    <w:rsid w:val="004E3278"/>
    <w:rsid w:val="004E3DBB"/>
    <w:rsid w:val="004E4555"/>
    <w:rsid w:val="004E4E27"/>
    <w:rsid w:val="004E64F8"/>
    <w:rsid w:val="004E658B"/>
    <w:rsid w:val="004F0569"/>
    <w:rsid w:val="004F14A4"/>
    <w:rsid w:val="004F197D"/>
    <w:rsid w:val="004F1E76"/>
    <w:rsid w:val="004F27D7"/>
    <w:rsid w:val="004F2AA0"/>
    <w:rsid w:val="004F3833"/>
    <w:rsid w:val="004F55B5"/>
    <w:rsid w:val="004F6C18"/>
    <w:rsid w:val="004F6C33"/>
    <w:rsid w:val="004F703D"/>
    <w:rsid w:val="00500E1E"/>
    <w:rsid w:val="00501509"/>
    <w:rsid w:val="0050205A"/>
    <w:rsid w:val="005035E6"/>
    <w:rsid w:val="005050FC"/>
    <w:rsid w:val="005067C5"/>
    <w:rsid w:val="00506FE4"/>
    <w:rsid w:val="0051315F"/>
    <w:rsid w:val="0051386D"/>
    <w:rsid w:val="00513F63"/>
    <w:rsid w:val="00514601"/>
    <w:rsid w:val="00514D3B"/>
    <w:rsid w:val="00514DDC"/>
    <w:rsid w:val="00516649"/>
    <w:rsid w:val="0051677F"/>
    <w:rsid w:val="00521480"/>
    <w:rsid w:val="0052453F"/>
    <w:rsid w:val="00525B65"/>
    <w:rsid w:val="0053076F"/>
    <w:rsid w:val="0053150B"/>
    <w:rsid w:val="005322DD"/>
    <w:rsid w:val="00533905"/>
    <w:rsid w:val="005340DD"/>
    <w:rsid w:val="0053466E"/>
    <w:rsid w:val="00534B93"/>
    <w:rsid w:val="0053590A"/>
    <w:rsid w:val="005362D2"/>
    <w:rsid w:val="00537ECB"/>
    <w:rsid w:val="00540BB6"/>
    <w:rsid w:val="0054349C"/>
    <w:rsid w:val="0054370A"/>
    <w:rsid w:val="00543F97"/>
    <w:rsid w:val="00544C63"/>
    <w:rsid w:val="0055076B"/>
    <w:rsid w:val="0055391A"/>
    <w:rsid w:val="005546D9"/>
    <w:rsid w:val="005550AD"/>
    <w:rsid w:val="0055707E"/>
    <w:rsid w:val="00560165"/>
    <w:rsid w:val="0056087D"/>
    <w:rsid w:val="00562CA0"/>
    <w:rsid w:val="005657D5"/>
    <w:rsid w:val="005660AF"/>
    <w:rsid w:val="00566A3A"/>
    <w:rsid w:val="00566DEA"/>
    <w:rsid w:val="00566DF1"/>
    <w:rsid w:val="0057146C"/>
    <w:rsid w:val="00573ADA"/>
    <w:rsid w:val="00574CAC"/>
    <w:rsid w:val="00574F19"/>
    <w:rsid w:val="00577CCE"/>
    <w:rsid w:val="00581204"/>
    <w:rsid w:val="00581FBE"/>
    <w:rsid w:val="00582ADD"/>
    <w:rsid w:val="005839E0"/>
    <w:rsid w:val="00586934"/>
    <w:rsid w:val="0059048A"/>
    <w:rsid w:val="00590D0E"/>
    <w:rsid w:val="00591355"/>
    <w:rsid w:val="00591E86"/>
    <w:rsid w:val="00593DBA"/>
    <w:rsid w:val="00593FA3"/>
    <w:rsid w:val="005948C4"/>
    <w:rsid w:val="00594A09"/>
    <w:rsid w:val="00594EDA"/>
    <w:rsid w:val="0059525B"/>
    <w:rsid w:val="00596383"/>
    <w:rsid w:val="00597AD8"/>
    <w:rsid w:val="00597ADB"/>
    <w:rsid w:val="005A1868"/>
    <w:rsid w:val="005A2B47"/>
    <w:rsid w:val="005A3068"/>
    <w:rsid w:val="005A43F2"/>
    <w:rsid w:val="005A509E"/>
    <w:rsid w:val="005A58A4"/>
    <w:rsid w:val="005B0DE3"/>
    <w:rsid w:val="005B1733"/>
    <w:rsid w:val="005B26CA"/>
    <w:rsid w:val="005B295F"/>
    <w:rsid w:val="005B57DE"/>
    <w:rsid w:val="005B6D7E"/>
    <w:rsid w:val="005B70C7"/>
    <w:rsid w:val="005B7145"/>
    <w:rsid w:val="005C234B"/>
    <w:rsid w:val="005C3639"/>
    <w:rsid w:val="005C3857"/>
    <w:rsid w:val="005C5726"/>
    <w:rsid w:val="005C66D4"/>
    <w:rsid w:val="005C679F"/>
    <w:rsid w:val="005D02BA"/>
    <w:rsid w:val="005D1265"/>
    <w:rsid w:val="005D305E"/>
    <w:rsid w:val="005D47E2"/>
    <w:rsid w:val="005D50A9"/>
    <w:rsid w:val="005D5EC7"/>
    <w:rsid w:val="005D7533"/>
    <w:rsid w:val="005E2206"/>
    <w:rsid w:val="005E2676"/>
    <w:rsid w:val="005E2941"/>
    <w:rsid w:val="005E2A2D"/>
    <w:rsid w:val="005E3E21"/>
    <w:rsid w:val="005E4419"/>
    <w:rsid w:val="005E4E23"/>
    <w:rsid w:val="005E552A"/>
    <w:rsid w:val="005F0A4B"/>
    <w:rsid w:val="005F0DC2"/>
    <w:rsid w:val="005F33A1"/>
    <w:rsid w:val="005F412C"/>
    <w:rsid w:val="005F4C86"/>
    <w:rsid w:val="005F76EB"/>
    <w:rsid w:val="005F7C24"/>
    <w:rsid w:val="00600E0D"/>
    <w:rsid w:val="00601E1E"/>
    <w:rsid w:val="006032EE"/>
    <w:rsid w:val="006037B5"/>
    <w:rsid w:val="00604EDF"/>
    <w:rsid w:val="00604F46"/>
    <w:rsid w:val="00604F54"/>
    <w:rsid w:val="00606336"/>
    <w:rsid w:val="0061073D"/>
    <w:rsid w:val="00610B0B"/>
    <w:rsid w:val="00613AF7"/>
    <w:rsid w:val="00614F58"/>
    <w:rsid w:val="0061544B"/>
    <w:rsid w:val="00616FCD"/>
    <w:rsid w:val="0062114B"/>
    <w:rsid w:val="006216BC"/>
    <w:rsid w:val="00622907"/>
    <w:rsid w:val="006238A7"/>
    <w:rsid w:val="00623A89"/>
    <w:rsid w:val="00623F47"/>
    <w:rsid w:val="00626831"/>
    <w:rsid w:val="00626AD4"/>
    <w:rsid w:val="006305AC"/>
    <w:rsid w:val="006309E8"/>
    <w:rsid w:val="00630AD7"/>
    <w:rsid w:val="00631318"/>
    <w:rsid w:val="00632E90"/>
    <w:rsid w:val="00636395"/>
    <w:rsid w:val="006404E6"/>
    <w:rsid w:val="00640918"/>
    <w:rsid w:val="00641CF6"/>
    <w:rsid w:val="0064274F"/>
    <w:rsid w:val="00642CF7"/>
    <w:rsid w:val="00643484"/>
    <w:rsid w:val="00646A3C"/>
    <w:rsid w:val="00646D37"/>
    <w:rsid w:val="00647090"/>
    <w:rsid w:val="00653670"/>
    <w:rsid w:val="0065443C"/>
    <w:rsid w:val="006546DB"/>
    <w:rsid w:val="006552DC"/>
    <w:rsid w:val="00655BB4"/>
    <w:rsid w:val="00655E47"/>
    <w:rsid w:val="00656457"/>
    <w:rsid w:val="00657AD3"/>
    <w:rsid w:val="006612EC"/>
    <w:rsid w:val="00661587"/>
    <w:rsid w:val="006628A8"/>
    <w:rsid w:val="00664943"/>
    <w:rsid w:val="00665ABB"/>
    <w:rsid w:val="00665F05"/>
    <w:rsid w:val="00667A00"/>
    <w:rsid w:val="00667FF6"/>
    <w:rsid w:val="006704CE"/>
    <w:rsid w:val="00672C22"/>
    <w:rsid w:val="00672DD5"/>
    <w:rsid w:val="00674E12"/>
    <w:rsid w:val="006755E3"/>
    <w:rsid w:val="00675916"/>
    <w:rsid w:val="006773D7"/>
    <w:rsid w:val="00677BA7"/>
    <w:rsid w:val="00680A68"/>
    <w:rsid w:val="00682420"/>
    <w:rsid w:val="00682971"/>
    <w:rsid w:val="00683D32"/>
    <w:rsid w:val="00683F0C"/>
    <w:rsid w:val="006861B0"/>
    <w:rsid w:val="006864CA"/>
    <w:rsid w:val="006866F6"/>
    <w:rsid w:val="006912AC"/>
    <w:rsid w:val="0069165E"/>
    <w:rsid w:val="00693468"/>
    <w:rsid w:val="006940C9"/>
    <w:rsid w:val="00694629"/>
    <w:rsid w:val="00694D1B"/>
    <w:rsid w:val="006968F6"/>
    <w:rsid w:val="00696BDF"/>
    <w:rsid w:val="006A0607"/>
    <w:rsid w:val="006A267A"/>
    <w:rsid w:val="006A3250"/>
    <w:rsid w:val="006A37A5"/>
    <w:rsid w:val="006A38FD"/>
    <w:rsid w:val="006A4542"/>
    <w:rsid w:val="006A53AB"/>
    <w:rsid w:val="006A5D5A"/>
    <w:rsid w:val="006A60C3"/>
    <w:rsid w:val="006A677D"/>
    <w:rsid w:val="006A69AC"/>
    <w:rsid w:val="006B272B"/>
    <w:rsid w:val="006B4108"/>
    <w:rsid w:val="006B5D5C"/>
    <w:rsid w:val="006C29D0"/>
    <w:rsid w:val="006C339B"/>
    <w:rsid w:val="006C73BF"/>
    <w:rsid w:val="006C7706"/>
    <w:rsid w:val="006C7AC8"/>
    <w:rsid w:val="006C7D52"/>
    <w:rsid w:val="006C7F75"/>
    <w:rsid w:val="006D1577"/>
    <w:rsid w:val="006D27A3"/>
    <w:rsid w:val="006D34D0"/>
    <w:rsid w:val="006D3EE1"/>
    <w:rsid w:val="006D46EC"/>
    <w:rsid w:val="006D5B31"/>
    <w:rsid w:val="006D70B8"/>
    <w:rsid w:val="006E007D"/>
    <w:rsid w:val="006E3B07"/>
    <w:rsid w:val="006E3D55"/>
    <w:rsid w:val="006E3F01"/>
    <w:rsid w:val="006E58B1"/>
    <w:rsid w:val="006E6182"/>
    <w:rsid w:val="006E6B22"/>
    <w:rsid w:val="006E7CAF"/>
    <w:rsid w:val="006F2EA8"/>
    <w:rsid w:val="006F3444"/>
    <w:rsid w:val="006F5326"/>
    <w:rsid w:val="006F55F6"/>
    <w:rsid w:val="006F5C2F"/>
    <w:rsid w:val="006F765D"/>
    <w:rsid w:val="006F7F00"/>
    <w:rsid w:val="007020A3"/>
    <w:rsid w:val="00703997"/>
    <w:rsid w:val="00703C5F"/>
    <w:rsid w:val="00703DFC"/>
    <w:rsid w:val="00703E8D"/>
    <w:rsid w:val="00710846"/>
    <w:rsid w:val="007109F5"/>
    <w:rsid w:val="0071144F"/>
    <w:rsid w:val="007117BE"/>
    <w:rsid w:val="0071378E"/>
    <w:rsid w:val="00716E25"/>
    <w:rsid w:val="007175F4"/>
    <w:rsid w:val="0071772B"/>
    <w:rsid w:val="00720A18"/>
    <w:rsid w:val="007213D4"/>
    <w:rsid w:val="00722262"/>
    <w:rsid w:val="00723F03"/>
    <w:rsid w:val="00723FE8"/>
    <w:rsid w:val="00724C44"/>
    <w:rsid w:val="00724DCB"/>
    <w:rsid w:val="00725E75"/>
    <w:rsid w:val="007270C8"/>
    <w:rsid w:val="00727651"/>
    <w:rsid w:val="007317F8"/>
    <w:rsid w:val="00731CA1"/>
    <w:rsid w:val="007322DD"/>
    <w:rsid w:val="00733CE8"/>
    <w:rsid w:val="0073445D"/>
    <w:rsid w:val="0073606F"/>
    <w:rsid w:val="00740F5B"/>
    <w:rsid w:val="007418A2"/>
    <w:rsid w:val="00743131"/>
    <w:rsid w:val="007446FC"/>
    <w:rsid w:val="007447C4"/>
    <w:rsid w:val="0074480C"/>
    <w:rsid w:val="00744BD3"/>
    <w:rsid w:val="00745BED"/>
    <w:rsid w:val="00745DBA"/>
    <w:rsid w:val="0074757E"/>
    <w:rsid w:val="00750678"/>
    <w:rsid w:val="00750716"/>
    <w:rsid w:val="0075117B"/>
    <w:rsid w:val="0075161C"/>
    <w:rsid w:val="007516C7"/>
    <w:rsid w:val="00751874"/>
    <w:rsid w:val="007526C2"/>
    <w:rsid w:val="00752A5E"/>
    <w:rsid w:val="00754968"/>
    <w:rsid w:val="00757195"/>
    <w:rsid w:val="00757449"/>
    <w:rsid w:val="0076092B"/>
    <w:rsid w:val="00761870"/>
    <w:rsid w:val="00764787"/>
    <w:rsid w:val="007655A3"/>
    <w:rsid w:val="007660BA"/>
    <w:rsid w:val="00770340"/>
    <w:rsid w:val="007709A1"/>
    <w:rsid w:val="007713D2"/>
    <w:rsid w:val="00771913"/>
    <w:rsid w:val="00773538"/>
    <w:rsid w:val="007764DE"/>
    <w:rsid w:val="00777165"/>
    <w:rsid w:val="00781087"/>
    <w:rsid w:val="00782ECB"/>
    <w:rsid w:val="00784313"/>
    <w:rsid w:val="00784521"/>
    <w:rsid w:val="00785A5E"/>
    <w:rsid w:val="00786DC7"/>
    <w:rsid w:val="007870AD"/>
    <w:rsid w:val="0078732E"/>
    <w:rsid w:val="007874F8"/>
    <w:rsid w:val="007919F1"/>
    <w:rsid w:val="0079232E"/>
    <w:rsid w:val="007941FB"/>
    <w:rsid w:val="00795FB4"/>
    <w:rsid w:val="00797C63"/>
    <w:rsid w:val="00797DB6"/>
    <w:rsid w:val="007A0D6C"/>
    <w:rsid w:val="007A127C"/>
    <w:rsid w:val="007A1A76"/>
    <w:rsid w:val="007A2716"/>
    <w:rsid w:val="007A7AAE"/>
    <w:rsid w:val="007A7E80"/>
    <w:rsid w:val="007B162B"/>
    <w:rsid w:val="007B3125"/>
    <w:rsid w:val="007B5682"/>
    <w:rsid w:val="007B7380"/>
    <w:rsid w:val="007C0A1F"/>
    <w:rsid w:val="007C0DDF"/>
    <w:rsid w:val="007C3C43"/>
    <w:rsid w:val="007C74E8"/>
    <w:rsid w:val="007D0753"/>
    <w:rsid w:val="007D0898"/>
    <w:rsid w:val="007D1206"/>
    <w:rsid w:val="007D1D1D"/>
    <w:rsid w:val="007D1FD2"/>
    <w:rsid w:val="007D2078"/>
    <w:rsid w:val="007D2572"/>
    <w:rsid w:val="007D43AD"/>
    <w:rsid w:val="007D6133"/>
    <w:rsid w:val="007E05F3"/>
    <w:rsid w:val="007E1D19"/>
    <w:rsid w:val="007E1E7C"/>
    <w:rsid w:val="007E3F9C"/>
    <w:rsid w:val="007E4ACE"/>
    <w:rsid w:val="007E4B4A"/>
    <w:rsid w:val="007E51D4"/>
    <w:rsid w:val="007F1352"/>
    <w:rsid w:val="007F148D"/>
    <w:rsid w:val="007F17FC"/>
    <w:rsid w:val="007F1944"/>
    <w:rsid w:val="007F1EC2"/>
    <w:rsid w:val="007F273C"/>
    <w:rsid w:val="007F483F"/>
    <w:rsid w:val="007F60AC"/>
    <w:rsid w:val="007F7561"/>
    <w:rsid w:val="007F786D"/>
    <w:rsid w:val="007F78C9"/>
    <w:rsid w:val="007F7F21"/>
    <w:rsid w:val="00801A1C"/>
    <w:rsid w:val="00801C67"/>
    <w:rsid w:val="0080341F"/>
    <w:rsid w:val="00803F6C"/>
    <w:rsid w:val="0080527E"/>
    <w:rsid w:val="008055EC"/>
    <w:rsid w:val="00806187"/>
    <w:rsid w:val="00806608"/>
    <w:rsid w:val="008067A4"/>
    <w:rsid w:val="00807F41"/>
    <w:rsid w:val="00810F67"/>
    <w:rsid w:val="0081135D"/>
    <w:rsid w:val="0081218F"/>
    <w:rsid w:val="00812678"/>
    <w:rsid w:val="00813753"/>
    <w:rsid w:val="00813E69"/>
    <w:rsid w:val="0081444B"/>
    <w:rsid w:val="008162B4"/>
    <w:rsid w:val="008162F7"/>
    <w:rsid w:val="00816FFD"/>
    <w:rsid w:val="00817753"/>
    <w:rsid w:val="00824DF5"/>
    <w:rsid w:val="008253CC"/>
    <w:rsid w:val="008255D7"/>
    <w:rsid w:val="0082592C"/>
    <w:rsid w:val="00825CAB"/>
    <w:rsid w:val="00826FF1"/>
    <w:rsid w:val="008277C4"/>
    <w:rsid w:val="008304DD"/>
    <w:rsid w:val="008305C7"/>
    <w:rsid w:val="008343C3"/>
    <w:rsid w:val="0083736E"/>
    <w:rsid w:val="008377A4"/>
    <w:rsid w:val="00841917"/>
    <w:rsid w:val="00842B2D"/>
    <w:rsid w:val="00844163"/>
    <w:rsid w:val="00845219"/>
    <w:rsid w:val="00845D2B"/>
    <w:rsid w:val="00845F3B"/>
    <w:rsid w:val="00845FCA"/>
    <w:rsid w:val="008463AC"/>
    <w:rsid w:val="00847B6C"/>
    <w:rsid w:val="00850B58"/>
    <w:rsid w:val="00850CFE"/>
    <w:rsid w:val="00851186"/>
    <w:rsid w:val="008525D9"/>
    <w:rsid w:val="00853F3B"/>
    <w:rsid w:val="00854361"/>
    <w:rsid w:val="00855E69"/>
    <w:rsid w:val="008560C8"/>
    <w:rsid w:val="0086149E"/>
    <w:rsid w:val="00861783"/>
    <w:rsid w:val="00862024"/>
    <w:rsid w:val="008620ED"/>
    <w:rsid w:val="00862453"/>
    <w:rsid w:val="0086382D"/>
    <w:rsid w:val="00864965"/>
    <w:rsid w:val="00865277"/>
    <w:rsid w:val="00865C9C"/>
    <w:rsid w:val="00865E01"/>
    <w:rsid w:val="00865F19"/>
    <w:rsid w:val="008665EF"/>
    <w:rsid w:val="0086740B"/>
    <w:rsid w:val="008718C9"/>
    <w:rsid w:val="00871F26"/>
    <w:rsid w:val="00872191"/>
    <w:rsid w:val="00873A8F"/>
    <w:rsid w:val="00874E02"/>
    <w:rsid w:val="00874F0A"/>
    <w:rsid w:val="00876BE9"/>
    <w:rsid w:val="008773C8"/>
    <w:rsid w:val="0087784A"/>
    <w:rsid w:val="00880805"/>
    <w:rsid w:val="00880B18"/>
    <w:rsid w:val="00880BF9"/>
    <w:rsid w:val="00881D3E"/>
    <w:rsid w:val="00882191"/>
    <w:rsid w:val="0088587A"/>
    <w:rsid w:val="00886A6D"/>
    <w:rsid w:val="008906E8"/>
    <w:rsid w:val="00891C6F"/>
    <w:rsid w:val="00892037"/>
    <w:rsid w:val="00892212"/>
    <w:rsid w:val="008924EF"/>
    <w:rsid w:val="008937FD"/>
    <w:rsid w:val="00893839"/>
    <w:rsid w:val="00894C9E"/>
    <w:rsid w:val="00896253"/>
    <w:rsid w:val="008968FC"/>
    <w:rsid w:val="00897F66"/>
    <w:rsid w:val="008A22CB"/>
    <w:rsid w:val="008A2F66"/>
    <w:rsid w:val="008A4054"/>
    <w:rsid w:val="008A5371"/>
    <w:rsid w:val="008A57E2"/>
    <w:rsid w:val="008A5868"/>
    <w:rsid w:val="008A60A9"/>
    <w:rsid w:val="008A61BA"/>
    <w:rsid w:val="008B132B"/>
    <w:rsid w:val="008B7775"/>
    <w:rsid w:val="008B7F04"/>
    <w:rsid w:val="008C0925"/>
    <w:rsid w:val="008C1A80"/>
    <w:rsid w:val="008C21BE"/>
    <w:rsid w:val="008C22A0"/>
    <w:rsid w:val="008C4779"/>
    <w:rsid w:val="008C4D6A"/>
    <w:rsid w:val="008C502B"/>
    <w:rsid w:val="008C6E43"/>
    <w:rsid w:val="008D06AE"/>
    <w:rsid w:val="008D1BD8"/>
    <w:rsid w:val="008D1CB0"/>
    <w:rsid w:val="008D2449"/>
    <w:rsid w:val="008D2F24"/>
    <w:rsid w:val="008D3D55"/>
    <w:rsid w:val="008D3FA4"/>
    <w:rsid w:val="008D4122"/>
    <w:rsid w:val="008D470E"/>
    <w:rsid w:val="008D4A13"/>
    <w:rsid w:val="008D55F7"/>
    <w:rsid w:val="008D706F"/>
    <w:rsid w:val="008D72DA"/>
    <w:rsid w:val="008D7942"/>
    <w:rsid w:val="008E15BC"/>
    <w:rsid w:val="008E1E6B"/>
    <w:rsid w:val="008E2528"/>
    <w:rsid w:val="008E2887"/>
    <w:rsid w:val="008E3D21"/>
    <w:rsid w:val="008E53DE"/>
    <w:rsid w:val="008E6848"/>
    <w:rsid w:val="008E6B94"/>
    <w:rsid w:val="008E7A5C"/>
    <w:rsid w:val="008E7AF3"/>
    <w:rsid w:val="008E7E15"/>
    <w:rsid w:val="008F0863"/>
    <w:rsid w:val="008F0C90"/>
    <w:rsid w:val="008F3B51"/>
    <w:rsid w:val="008F4BDA"/>
    <w:rsid w:val="008F5242"/>
    <w:rsid w:val="008F5DAB"/>
    <w:rsid w:val="008F708E"/>
    <w:rsid w:val="008F70A5"/>
    <w:rsid w:val="00900884"/>
    <w:rsid w:val="00901378"/>
    <w:rsid w:val="00901591"/>
    <w:rsid w:val="0090269F"/>
    <w:rsid w:val="00904DAA"/>
    <w:rsid w:val="0090550E"/>
    <w:rsid w:val="00906610"/>
    <w:rsid w:val="00906A55"/>
    <w:rsid w:val="0091066D"/>
    <w:rsid w:val="009113AB"/>
    <w:rsid w:val="009126B3"/>
    <w:rsid w:val="00912CA5"/>
    <w:rsid w:val="00913FA1"/>
    <w:rsid w:val="00914E48"/>
    <w:rsid w:val="00915C80"/>
    <w:rsid w:val="00915E3D"/>
    <w:rsid w:val="00921278"/>
    <w:rsid w:val="00922838"/>
    <w:rsid w:val="0092497F"/>
    <w:rsid w:val="009249CF"/>
    <w:rsid w:val="00925B2B"/>
    <w:rsid w:val="009269DC"/>
    <w:rsid w:val="00927220"/>
    <w:rsid w:val="009308CF"/>
    <w:rsid w:val="009321FE"/>
    <w:rsid w:val="0093396C"/>
    <w:rsid w:val="00933F8F"/>
    <w:rsid w:val="009340AC"/>
    <w:rsid w:val="009356FA"/>
    <w:rsid w:val="00936940"/>
    <w:rsid w:val="00936E66"/>
    <w:rsid w:val="00937963"/>
    <w:rsid w:val="009417DE"/>
    <w:rsid w:val="00941831"/>
    <w:rsid w:val="009438DB"/>
    <w:rsid w:val="009439E8"/>
    <w:rsid w:val="00945823"/>
    <w:rsid w:val="00945A98"/>
    <w:rsid w:val="00945E2A"/>
    <w:rsid w:val="00946132"/>
    <w:rsid w:val="00946F89"/>
    <w:rsid w:val="00947FB9"/>
    <w:rsid w:val="00950067"/>
    <w:rsid w:val="00951641"/>
    <w:rsid w:val="00953A95"/>
    <w:rsid w:val="00953BE8"/>
    <w:rsid w:val="009543A2"/>
    <w:rsid w:val="00954EB4"/>
    <w:rsid w:val="0095686B"/>
    <w:rsid w:val="00956E43"/>
    <w:rsid w:val="009576B6"/>
    <w:rsid w:val="009618FD"/>
    <w:rsid w:val="0096551C"/>
    <w:rsid w:val="009726F1"/>
    <w:rsid w:val="00974839"/>
    <w:rsid w:val="00976271"/>
    <w:rsid w:val="009773B5"/>
    <w:rsid w:val="00977751"/>
    <w:rsid w:val="00980907"/>
    <w:rsid w:val="00981362"/>
    <w:rsid w:val="009836AC"/>
    <w:rsid w:val="009845C5"/>
    <w:rsid w:val="00986845"/>
    <w:rsid w:val="0098798D"/>
    <w:rsid w:val="00994197"/>
    <w:rsid w:val="009945D4"/>
    <w:rsid w:val="00994C41"/>
    <w:rsid w:val="00994D98"/>
    <w:rsid w:val="009A1F3C"/>
    <w:rsid w:val="009A28E0"/>
    <w:rsid w:val="009A2CF9"/>
    <w:rsid w:val="009A3FF1"/>
    <w:rsid w:val="009A4A8C"/>
    <w:rsid w:val="009A5497"/>
    <w:rsid w:val="009A6329"/>
    <w:rsid w:val="009A7839"/>
    <w:rsid w:val="009A7C80"/>
    <w:rsid w:val="009B0DB1"/>
    <w:rsid w:val="009B134D"/>
    <w:rsid w:val="009B1365"/>
    <w:rsid w:val="009B14AD"/>
    <w:rsid w:val="009B183B"/>
    <w:rsid w:val="009B186F"/>
    <w:rsid w:val="009B29D4"/>
    <w:rsid w:val="009B457A"/>
    <w:rsid w:val="009B5CCA"/>
    <w:rsid w:val="009B5EA9"/>
    <w:rsid w:val="009B7F3F"/>
    <w:rsid w:val="009C2DF8"/>
    <w:rsid w:val="009C338D"/>
    <w:rsid w:val="009C34B8"/>
    <w:rsid w:val="009C3900"/>
    <w:rsid w:val="009C4E95"/>
    <w:rsid w:val="009C4E9F"/>
    <w:rsid w:val="009C59EC"/>
    <w:rsid w:val="009C72BD"/>
    <w:rsid w:val="009C7C36"/>
    <w:rsid w:val="009D0DD6"/>
    <w:rsid w:val="009D2A03"/>
    <w:rsid w:val="009D2C13"/>
    <w:rsid w:val="009D401C"/>
    <w:rsid w:val="009D5486"/>
    <w:rsid w:val="009D5841"/>
    <w:rsid w:val="009D595C"/>
    <w:rsid w:val="009D7692"/>
    <w:rsid w:val="009D7D67"/>
    <w:rsid w:val="009E0C9F"/>
    <w:rsid w:val="009E0DDB"/>
    <w:rsid w:val="009E177E"/>
    <w:rsid w:val="009E1F8D"/>
    <w:rsid w:val="009E221F"/>
    <w:rsid w:val="009E3496"/>
    <w:rsid w:val="009E355A"/>
    <w:rsid w:val="009E3E65"/>
    <w:rsid w:val="009E4C7D"/>
    <w:rsid w:val="009E5AE4"/>
    <w:rsid w:val="009E62CF"/>
    <w:rsid w:val="009E6C7E"/>
    <w:rsid w:val="009F1E43"/>
    <w:rsid w:val="009F2218"/>
    <w:rsid w:val="009F4071"/>
    <w:rsid w:val="009F4F9E"/>
    <w:rsid w:val="009F5D11"/>
    <w:rsid w:val="009F7597"/>
    <w:rsid w:val="00A00188"/>
    <w:rsid w:val="00A0027D"/>
    <w:rsid w:val="00A02516"/>
    <w:rsid w:val="00A03F1E"/>
    <w:rsid w:val="00A0456B"/>
    <w:rsid w:val="00A04EED"/>
    <w:rsid w:val="00A06BA4"/>
    <w:rsid w:val="00A1004F"/>
    <w:rsid w:val="00A10B9F"/>
    <w:rsid w:val="00A12F32"/>
    <w:rsid w:val="00A148A7"/>
    <w:rsid w:val="00A17828"/>
    <w:rsid w:val="00A20640"/>
    <w:rsid w:val="00A2066A"/>
    <w:rsid w:val="00A21B52"/>
    <w:rsid w:val="00A238B6"/>
    <w:rsid w:val="00A23DF4"/>
    <w:rsid w:val="00A305DD"/>
    <w:rsid w:val="00A325D9"/>
    <w:rsid w:val="00A3750C"/>
    <w:rsid w:val="00A409B8"/>
    <w:rsid w:val="00A41145"/>
    <w:rsid w:val="00A4166B"/>
    <w:rsid w:val="00A44575"/>
    <w:rsid w:val="00A46CBE"/>
    <w:rsid w:val="00A47577"/>
    <w:rsid w:val="00A52067"/>
    <w:rsid w:val="00A53DC8"/>
    <w:rsid w:val="00A5423F"/>
    <w:rsid w:val="00A579F0"/>
    <w:rsid w:val="00A6274C"/>
    <w:rsid w:val="00A627AF"/>
    <w:rsid w:val="00A62EFF"/>
    <w:rsid w:val="00A65B57"/>
    <w:rsid w:val="00A663F6"/>
    <w:rsid w:val="00A6719D"/>
    <w:rsid w:val="00A67AC3"/>
    <w:rsid w:val="00A72C7A"/>
    <w:rsid w:val="00A74424"/>
    <w:rsid w:val="00A748AA"/>
    <w:rsid w:val="00A75615"/>
    <w:rsid w:val="00A758D9"/>
    <w:rsid w:val="00A766EB"/>
    <w:rsid w:val="00A76DDF"/>
    <w:rsid w:val="00A81DDA"/>
    <w:rsid w:val="00A824D4"/>
    <w:rsid w:val="00A82DC0"/>
    <w:rsid w:val="00A83DAF"/>
    <w:rsid w:val="00A84C8B"/>
    <w:rsid w:val="00A85787"/>
    <w:rsid w:val="00A86DCF"/>
    <w:rsid w:val="00A8770E"/>
    <w:rsid w:val="00A877EE"/>
    <w:rsid w:val="00A93FE3"/>
    <w:rsid w:val="00A94791"/>
    <w:rsid w:val="00A95AA2"/>
    <w:rsid w:val="00A97C31"/>
    <w:rsid w:val="00A97D9A"/>
    <w:rsid w:val="00A97E76"/>
    <w:rsid w:val="00AA024B"/>
    <w:rsid w:val="00AA1B38"/>
    <w:rsid w:val="00AA2A0A"/>
    <w:rsid w:val="00AA2BDD"/>
    <w:rsid w:val="00AA32B9"/>
    <w:rsid w:val="00AA4697"/>
    <w:rsid w:val="00AA523E"/>
    <w:rsid w:val="00AA6277"/>
    <w:rsid w:val="00AA6597"/>
    <w:rsid w:val="00AA75F5"/>
    <w:rsid w:val="00AB301A"/>
    <w:rsid w:val="00AB46CE"/>
    <w:rsid w:val="00AC053B"/>
    <w:rsid w:val="00AC06B6"/>
    <w:rsid w:val="00AC24E9"/>
    <w:rsid w:val="00AC2DD1"/>
    <w:rsid w:val="00AC37FC"/>
    <w:rsid w:val="00AC3B12"/>
    <w:rsid w:val="00AC40EF"/>
    <w:rsid w:val="00AC5851"/>
    <w:rsid w:val="00AC5AC1"/>
    <w:rsid w:val="00AC5F80"/>
    <w:rsid w:val="00AC79C7"/>
    <w:rsid w:val="00AD18E2"/>
    <w:rsid w:val="00AD3188"/>
    <w:rsid w:val="00AD39DF"/>
    <w:rsid w:val="00AD3AD0"/>
    <w:rsid w:val="00AD3DDB"/>
    <w:rsid w:val="00AD4434"/>
    <w:rsid w:val="00AD4928"/>
    <w:rsid w:val="00AD4CF3"/>
    <w:rsid w:val="00AD53B9"/>
    <w:rsid w:val="00AD77D4"/>
    <w:rsid w:val="00AD7BF6"/>
    <w:rsid w:val="00AD7EA8"/>
    <w:rsid w:val="00AE3B51"/>
    <w:rsid w:val="00AE4167"/>
    <w:rsid w:val="00AE50C6"/>
    <w:rsid w:val="00AE733B"/>
    <w:rsid w:val="00AF1667"/>
    <w:rsid w:val="00AF2D2F"/>
    <w:rsid w:val="00AF38D4"/>
    <w:rsid w:val="00AF4406"/>
    <w:rsid w:val="00AF4CA7"/>
    <w:rsid w:val="00AF64B4"/>
    <w:rsid w:val="00AF6BBB"/>
    <w:rsid w:val="00AF713E"/>
    <w:rsid w:val="00AF7FF1"/>
    <w:rsid w:val="00B00392"/>
    <w:rsid w:val="00B00800"/>
    <w:rsid w:val="00B00B96"/>
    <w:rsid w:val="00B01F96"/>
    <w:rsid w:val="00B021CC"/>
    <w:rsid w:val="00B02517"/>
    <w:rsid w:val="00B02743"/>
    <w:rsid w:val="00B02F88"/>
    <w:rsid w:val="00B04B65"/>
    <w:rsid w:val="00B070CD"/>
    <w:rsid w:val="00B07116"/>
    <w:rsid w:val="00B10074"/>
    <w:rsid w:val="00B10EFD"/>
    <w:rsid w:val="00B152D2"/>
    <w:rsid w:val="00B16AE4"/>
    <w:rsid w:val="00B16B96"/>
    <w:rsid w:val="00B16E63"/>
    <w:rsid w:val="00B20D93"/>
    <w:rsid w:val="00B21BF4"/>
    <w:rsid w:val="00B23D01"/>
    <w:rsid w:val="00B25599"/>
    <w:rsid w:val="00B256CF"/>
    <w:rsid w:val="00B26436"/>
    <w:rsid w:val="00B26898"/>
    <w:rsid w:val="00B30496"/>
    <w:rsid w:val="00B30DDE"/>
    <w:rsid w:val="00B332F8"/>
    <w:rsid w:val="00B3471F"/>
    <w:rsid w:val="00B36321"/>
    <w:rsid w:val="00B369DC"/>
    <w:rsid w:val="00B40280"/>
    <w:rsid w:val="00B424E4"/>
    <w:rsid w:val="00B42ACD"/>
    <w:rsid w:val="00B42AD0"/>
    <w:rsid w:val="00B44290"/>
    <w:rsid w:val="00B4582F"/>
    <w:rsid w:val="00B45E17"/>
    <w:rsid w:val="00B4633D"/>
    <w:rsid w:val="00B46C8F"/>
    <w:rsid w:val="00B47824"/>
    <w:rsid w:val="00B47825"/>
    <w:rsid w:val="00B50775"/>
    <w:rsid w:val="00B51307"/>
    <w:rsid w:val="00B513D9"/>
    <w:rsid w:val="00B536D3"/>
    <w:rsid w:val="00B5530B"/>
    <w:rsid w:val="00B55D64"/>
    <w:rsid w:val="00B57FB6"/>
    <w:rsid w:val="00B63E09"/>
    <w:rsid w:val="00B63FBB"/>
    <w:rsid w:val="00B64583"/>
    <w:rsid w:val="00B66A75"/>
    <w:rsid w:val="00B66D0E"/>
    <w:rsid w:val="00B66FAB"/>
    <w:rsid w:val="00B670E9"/>
    <w:rsid w:val="00B72414"/>
    <w:rsid w:val="00B736DA"/>
    <w:rsid w:val="00B73BDF"/>
    <w:rsid w:val="00B73E82"/>
    <w:rsid w:val="00B7503C"/>
    <w:rsid w:val="00B77872"/>
    <w:rsid w:val="00B8055B"/>
    <w:rsid w:val="00B829AE"/>
    <w:rsid w:val="00B82EA0"/>
    <w:rsid w:val="00B8310F"/>
    <w:rsid w:val="00B83F6A"/>
    <w:rsid w:val="00B84B23"/>
    <w:rsid w:val="00B854FA"/>
    <w:rsid w:val="00B85D4E"/>
    <w:rsid w:val="00B86044"/>
    <w:rsid w:val="00B869FA"/>
    <w:rsid w:val="00B878AC"/>
    <w:rsid w:val="00B9227E"/>
    <w:rsid w:val="00B92EF3"/>
    <w:rsid w:val="00B938C0"/>
    <w:rsid w:val="00BA20B6"/>
    <w:rsid w:val="00BA3340"/>
    <w:rsid w:val="00BB27CC"/>
    <w:rsid w:val="00BB2C40"/>
    <w:rsid w:val="00BB37A5"/>
    <w:rsid w:val="00BB440B"/>
    <w:rsid w:val="00BB78DC"/>
    <w:rsid w:val="00BC040F"/>
    <w:rsid w:val="00BC352B"/>
    <w:rsid w:val="00BC3ACF"/>
    <w:rsid w:val="00BD08D2"/>
    <w:rsid w:val="00BD1F25"/>
    <w:rsid w:val="00BD217F"/>
    <w:rsid w:val="00BD3748"/>
    <w:rsid w:val="00BD5FF9"/>
    <w:rsid w:val="00BD7600"/>
    <w:rsid w:val="00BE08A4"/>
    <w:rsid w:val="00BE0921"/>
    <w:rsid w:val="00BE1639"/>
    <w:rsid w:val="00BE1892"/>
    <w:rsid w:val="00BE1987"/>
    <w:rsid w:val="00BE22F7"/>
    <w:rsid w:val="00BE330F"/>
    <w:rsid w:val="00BE42E9"/>
    <w:rsid w:val="00BE6AE0"/>
    <w:rsid w:val="00BE7113"/>
    <w:rsid w:val="00BE756F"/>
    <w:rsid w:val="00BE77D4"/>
    <w:rsid w:val="00BE7E34"/>
    <w:rsid w:val="00BF002E"/>
    <w:rsid w:val="00BF05F4"/>
    <w:rsid w:val="00BF06DC"/>
    <w:rsid w:val="00BF0EE7"/>
    <w:rsid w:val="00BF38E4"/>
    <w:rsid w:val="00BF622E"/>
    <w:rsid w:val="00BF6D3C"/>
    <w:rsid w:val="00BF77A7"/>
    <w:rsid w:val="00BF7B65"/>
    <w:rsid w:val="00C02ABA"/>
    <w:rsid w:val="00C02E17"/>
    <w:rsid w:val="00C0304B"/>
    <w:rsid w:val="00C040D4"/>
    <w:rsid w:val="00C048EC"/>
    <w:rsid w:val="00C05855"/>
    <w:rsid w:val="00C05AC4"/>
    <w:rsid w:val="00C070A7"/>
    <w:rsid w:val="00C070FE"/>
    <w:rsid w:val="00C07B79"/>
    <w:rsid w:val="00C120A4"/>
    <w:rsid w:val="00C127FC"/>
    <w:rsid w:val="00C12A5F"/>
    <w:rsid w:val="00C12F5C"/>
    <w:rsid w:val="00C1382C"/>
    <w:rsid w:val="00C138AD"/>
    <w:rsid w:val="00C1613F"/>
    <w:rsid w:val="00C16CF5"/>
    <w:rsid w:val="00C17F7A"/>
    <w:rsid w:val="00C212A1"/>
    <w:rsid w:val="00C21F1E"/>
    <w:rsid w:val="00C244DB"/>
    <w:rsid w:val="00C24764"/>
    <w:rsid w:val="00C27587"/>
    <w:rsid w:val="00C3339D"/>
    <w:rsid w:val="00C334D9"/>
    <w:rsid w:val="00C33A8D"/>
    <w:rsid w:val="00C3541B"/>
    <w:rsid w:val="00C35449"/>
    <w:rsid w:val="00C37518"/>
    <w:rsid w:val="00C40262"/>
    <w:rsid w:val="00C407EC"/>
    <w:rsid w:val="00C4082F"/>
    <w:rsid w:val="00C40D9A"/>
    <w:rsid w:val="00C40E54"/>
    <w:rsid w:val="00C41ECF"/>
    <w:rsid w:val="00C42006"/>
    <w:rsid w:val="00C42DE8"/>
    <w:rsid w:val="00C433A7"/>
    <w:rsid w:val="00C4357F"/>
    <w:rsid w:val="00C4564E"/>
    <w:rsid w:val="00C47A69"/>
    <w:rsid w:val="00C47E17"/>
    <w:rsid w:val="00C51CCB"/>
    <w:rsid w:val="00C560BF"/>
    <w:rsid w:val="00C6070A"/>
    <w:rsid w:val="00C6074C"/>
    <w:rsid w:val="00C60DD1"/>
    <w:rsid w:val="00C61D0B"/>
    <w:rsid w:val="00C62216"/>
    <w:rsid w:val="00C62597"/>
    <w:rsid w:val="00C65C27"/>
    <w:rsid w:val="00C73035"/>
    <w:rsid w:val="00C751D2"/>
    <w:rsid w:val="00C756C0"/>
    <w:rsid w:val="00C77436"/>
    <w:rsid w:val="00C7786E"/>
    <w:rsid w:val="00C801AC"/>
    <w:rsid w:val="00C81AEE"/>
    <w:rsid w:val="00C825D5"/>
    <w:rsid w:val="00C845A3"/>
    <w:rsid w:val="00C845EC"/>
    <w:rsid w:val="00C85889"/>
    <w:rsid w:val="00C86246"/>
    <w:rsid w:val="00C87AD2"/>
    <w:rsid w:val="00C92297"/>
    <w:rsid w:val="00C934DE"/>
    <w:rsid w:val="00C959D2"/>
    <w:rsid w:val="00C95FA4"/>
    <w:rsid w:val="00CA0AE8"/>
    <w:rsid w:val="00CA0FA1"/>
    <w:rsid w:val="00CA1442"/>
    <w:rsid w:val="00CA14B4"/>
    <w:rsid w:val="00CA15A6"/>
    <w:rsid w:val="00CA22E0"/>
    <w:rsid w:val="00CA2923"/>
    <w:rsid w:val="00CA2E05"/>
    <w:rsid w:val="00CA2F7C"/>
    <w:rsid w:val="00CA34CE"/>
    <w:rsid w:val="00CA6916"/>
    <w:rsid w:val="00CA7008"/>
    <w:rsid w:val="00CA71FD"/>
    <w:rsid w:val="00CA79E9"/>
    <w:rsid w:val="00CB19AF"/>
    <w:rsid w:val="00CB2CC5"/>
    <w:rsid w:val="00CB32B9"/>
    <w:rsid w:val="00CB3818"/>
    <w:rsid w:val="00CB4486"/>
    <w:rsid w:val="00CB73B1"/>
    <w:rsid w:val="00CB75DD"/>
    <w:rsid w:val="00CB7F69"/>
    <w:rsid w:val="00CC1B9B"/>
    <w:rsid w:val="00CC2473"/>
    <w:rsid w:val="00CC46D7"/>
    <w:rsid w:val="00CC65F5"/>
    <w:rsid w:val="00CD06B1"/>
    <w:rsid w:val="00CD1614"/>
    <w:rsid w:val="00CD1FDF"/>
    <w:rsid w:val="00CD2568"/>
    <w:rsid w:val="00CD37E6"/>
    <w:rsid w:val="00CD3DD4"/>
    <w:rsid w:val="00CD423A"/>
    <w:rsid w:val="00CD505E"/>
    <w:rsid w:val="00CE06AA"/>
    <w:rsid w:val="00CE2612"/>
    <w:rsid w:val="00CE3B3D"/>
    <w:rsid w:val="00CE594C"/>
    <w:rsid w:val="00CE5D76"/>
    <w:rsid w:val="00CE672D"/>
    <w:rsid w:val="00CE6BA1"/>
    <w:rsid w:val="00CE6C55"/>
    <w:rsid w:val="00CF0585"/>
    <w:rsid w:val="00CF210D"/>
    <w:rsid w:val="00CF2650"/>
    <w:rsid w:val="00CF39CD"/>
    <w:rsid w:val="00CF3DE3"/>
    <w:rsid w:val="00CF4822"/>
    <w:rsid w:val="00CF49DC"/>
    <w:rsid w:val="00CF52AA"/>
    <w:rsid w:val="00CF6891"/>
    <w:rsid w:val="00CF7D6E"/>
    <w:rsid w:val="00D001A1"/>
    <w:rsid w:val="00D01F66"/>
    <w:rsid w:val="00D01F69"/>
    <w:rsid w:val="00D04024"/>
    <w:rsid w:val="00D044EC"/>
    <w:rsid w:val="00D04A60"/>
    <w:rsid w:val="00D11768"/>
    <w:rsid w:val="00D123B5"/>
    <w:rsid w:val="00D13176"/>
    <w:rsid w:val="00D14188"/>
    <w:rsid w:val="00D15741"/>
    <w:rsid w:val="00D165CA"/>
    <w:rsid w:val="00D16BD8"/>
    <w:rsid w:val="00D20E76"/>
    <w:rsid w:val="00D215DF"/>
    <w:rsid w:val="00D22091"/>
    <w:rsid w:val="00D23DC2"/>
    <w:rsid w:val="00D24927"/>
    <w:rsid w:val="00D267FD"/>
    <w:rsid w:val="00D2783B"/>
    <w:rsid w:val="00D2784B"/>
    <w:rsid w:val="00D27D58"/>
    <w:rsid w:val="00D300D0"/>
    <w:rsid w:val="00D304CE"/>
    <w:rsid w:val="00D307C0"/>
    <w:rsid w:val="00D310DF"/>
    <w:rsid w:val="00D310F6"/>
    <w:rsid w:val="00D32031"/>
    <w:rsid w:val="00D328C1"/>
    <w:rsid w:val="00D32F3F"/>
    <w:rsid w:val="00D36924"/>
    <w:rsid w:val="00D42311"/>
    <w:rsid w:val="00D42763"/>
    <w:rsid w:val="00D43118"/>
    <w:rsid w:val="00D432DF"/>
    <w:rsid w:val="00D432F4"/>
    <w:rsid w:val="00D43547"/>
    <w:rsid w:val="00D43D26"/>
    <w:rsid w:val="00D4575A"/>
    <w:rsid w:val="00D4731B"/>
    <w:rsid w:val="00D51A88"/>
    <w:rsid w:val="00D521D1"/>
    <w:rsid w:val="00D524B5"/>
    <w:rsid w:val="00D52B01"/>
    <w:rsid w:val="00D5401B"/>
    <w:rsid w:val="00D54C25"/>
    <w:rsid w:val="00D5563F"/>
    <w:rsid w:val="00D55A46"/>
    <w:rsid w:val="00D55EEC"/>
    <w:rsid w:val="00D571F5"/>
    <w:rsid w:val="00D57F13"/>
    <w:rsid w:val="00D61610"/>
    <w:rsid w:val="00D6352D"/>
    <w:rsid w:val="00D64F29"/>
    <w:rsid w:val="00D65C20"/>
    <w:rsid w:val="00D66CBD"/>
    <w:rsid w:val="00D66CCF"/>
    <w:rsid w:val="00D67884"/>
    <w:rsid w:val="00D70573"/>
    <w:rsid w:val="00D71D07"/>
    <w:rsid w:val="00D72D30"/>
    <w:rsid w:val="00D732DB"/>
    <w:rsid w:val="00D73583"/>
    <w:rsid w:val="00D73F51"/>
    <w:rsid w:val="00D74067"/>
    <w:rsid w:val="00D7493B"/>
    <w:rsid w:val="00D74C43"/>
    <w:rsid w:val="00D772EC"/>
    <w:rsid w:val="00D7776F"/>
    <w:rsid w:val="00D807AE"/>
    <w:rsid w:val="00D80878"/>
    <w:rsid w:val="00D81E36"/>
    <w:rsid w:val="00D83BB4"/>
    <w:rsid w:val="00D83E2D"/>
    <w:rsid w:val="00D84A18"/>
    <w:rsid w:val="00D908DD"/>
    <w:rsid w:val="00D917C4"/>
    <w:rsid w:val="00D92F4A"/>
    <w:rsid w:val="00D9496A"/>
    <w:rsid w:val="00D958DF"/>
    <w:rsid w:val="00D97BB8"/>
    <w:rsid w:val="00DA0445"/>
    <w:rsid w:val="00DA10A3"/>
    <w:rsid w:val="00DA10A4"/>
    <w:rsid w:val="00DA360C"/>
    <w:rsid w:val="00DA5FC8"/>
    <w:rsid w:val="00DB1903"/>
    <w:rsid w:val="00DB2599"/>
    <w:rsid w:val="00DB3F14"/>
    <w:rsid w:val="00DC004F"/>
    <w:rsid w:val="00DC01A1"/>
    <w:rsid w:val="00DC0A25"/>
    <w:rsid w:val="00DC385D"/>
    <w:rsid w:val="00DC43B3"/>
    <w:rsid w:val="00DC4CD9"/>
    <w:rsid w:val="00DD18DC"/>
    <w:rsid w:val="00DD1AF1"/>
    <w:rsid w:val="00DD26EF"/>
    <w:rsid w:val="00DD2BEB"/>
    <w:rsid w:val="00DD38C8"/>
    <w:rsid w:val="00DD7197"/>
    <w:rsid w:val="00DD7F46"/>
    <w:rsid w:val="00DE213F"/>
    <w:rsid w:val="00DE2E49"/>
    <w:rsid w:val="00DE41D9"/>
    <w:rsid w:val="00DE52FD"/>
    <w:rsid w:val="00DE6890"/>
    <w:rsid w:val="00DE7359"/>
    <w:rsid w:val="00DE7C69"/>
    <w:rsid w:val="00DE7F72"/>
    <w:rsid w:val="00DF0E11"/>
    <w:rsid w:val="00DF0EB5"/>
    <w:rsid w:val="00DF1DCD"/>
    <w:rsid w:val="00DF353A"/>
    <w:rsid w:val="00E00933"/>
    <w:rsid w:val="00E0177F"/>
    <w:rsid w:val="00E03519"/>
    <w:rsid w:val="00E04E6C"/>
    <w:rsid w:val="00E05BF7"/>
    <w:rsid w:val="00E05F5C"/>
    <w:rsid w:val="00E06F18"/>
    <w:rsid w:val="00E11A50"/>
    <w:rsid w:val="00E11F04"/>
    <w:rsid w:val="00E12319"/>
    <w:rsid w:val="00E137F2"/>
    <w:rsid w:val="00E16929"/>
    <w:rsid w:val="00E16C72"/>
    <w:rsid w:val="00E16C84"/>
    <w:rsid w:val="00E20D74"/>
    <w:rsid w:val="00E2328E"/>
    <w:rsid w:val="00E2455F"/>
    <w:rsid w:val="00E24C0F"/>
    <w:rsid w:val="00E257C1"/>
    <w:rsid w:val="00E25D64"/>
    <w:rsid w:val="00E30026"/>
    <w:rsid w:val="00E33A61"/>
    <w:rsid w:val="00E3552F"/>
    <w:rsid w:val="00E364A8"/>
    <w:rsid w:val="00E36F7F"/>
    <w:rsid w:val="00E36FE6"/>
    <w:rsid w:val="00E40687"/>
    <w:rsid w:val="00E41099"/>
    <w:rsid w:val="00E424A2"/>
    <w:rsid w:val="00E42FF9"/>
    <w:rsid w:val="00E435A0"/>
    <w:rsid w:val="00E47D94"/>
    <w:rsid w:val="00E47F8B"/>
    <w:rsid w:val="00E50090"/>
    <w:rsid w:val="00E5249F"/>
    <w:rsid w:val="00E528DB"/>
    <w:rsid w:val="00E5290E"/>
    <w:rsid w:val="00E53BE8"/>
    <w:rsid w:val="00E54B9E"/>
    <w:rsid w:val="00E5672F"/>
    <w:rsid w:val="00E56968"/>
    <w:rsid w:val="00E56C05"/>
    <w:rsid w:val="00E56E7E"/>
    <w:rsid w:val="00E60552"/>
    <w:rsid w:val="00E620D5"/>
    <w:rsid w:val="00E62615"/>
    <w:rsid w:val="00E62DB0"/>
    <w:rsid w:val="00E63606"/>
    <w:rsid w:val="00E64093"/>
    <w:rsid w:val="00E653C8"/>
    <w:rsid w:val="00E6611B"/>
    <w:rsid w:val="00E6780C"/>
    <w:rsid w:val="00E74219"/>
    <w:rsid w:val="00E77297"/>
    <w:rsid w:val="00E80915"/>
    <w:rsid w:val="00E81123"/>
    <w:rsid w:val="00E81776"/>
    <w:rsid w:val="00E83869"/>
    <w:rsid w:val="00E83C89"/>
    <w:rsid w:val="00E85341"/>
    <w:rsid w:val="00E85BCC"/>
    <w:rsid w:val="00E85C2F"/>
    <w:rsid w:val="00E85FCF"/>
    <w:rsid w:val="00E86679"/>
    <w:rsid w:val="00E86D31"/>
    <w:rsid w:val="00E87411"/>
    <w:rsid w:val="00E90117"/>
    <w:rsid w:val="00E90A35"/>
    <w:rsid w:val="00E90D33"/>
    <w:rsid w:val="00E91AC2"/>
    <w:rsid w:val="00E92E39"/>
    <w:rsid w:val="00E92F22"/>
    <w:rsid w:val="00E9323D"/>
    <w:rsid w:val="00E933A0"/>
    <w:rsid w:val="00E9409E"/>
    <w:rsid w:val="00E94F8A"/>
    <w:rsid w:val="00E96C3C"/>
    <w:rsid w:val="00E97D4A"/>
    <w:rsid w:val="00EA09AA"/>
    <w:rsid w:val="00EA3523"/>
    <w:rsid w:val="00EA43DC"/>
    <w:rsid w:val="00EA44F5"/>
    <w:rsid w:val="00EA7053"/>
    <w:rsid w:val="00EA72C2"/>
    <w:rsid w:val="00EA7E39"/>
    <w:rsid w:val="00EB0F24"/>
    <w:rsid w:val="00EB11AF"/>
    <w:rsid w:val="00EB129D"/>
    <w:rsid w:val="00EB1A9A"/>
    <w:rsid w:val="00EB2D15"/>
    <w:rsid w:val="00EB3B2E"/>
    <w:rsid w:val="00EB5A8E"/>
    <w:rsid w:val="00EB6464"/>
    <w:rsid w:val="00EB6A16"/>
    <w:rsid w:val="00EB756F"/>
    <w:rsid w:val="00EB7E02"/>
    <w:rsid w:val="00EC1E8D"/>
    <w:rsid w:val="00EC2316"/>
    <w:rsid w:val="00EC334A"/>
    <w:rsid w:val="00EC3AB2"/>
    <w:rsid w:val="00EC6A17"/>
    <w:rsid w:val="00EC70DB"/>
    <w:rsid w:val="00EC7455"/>
    <w:rsid w:val="00EC7EA4"/>
    <w:rsid w:val="00EC7FE7"/>
    <w:rsid w:val="00ED19B1"/>
    <w:rsid w:val="00ED21B0"/>
    <w:rsid w:val="00ED4C05"/>
    <w:rsid w:val="00ED4EBA"/>
    <w:rsid w:val="00ED662F"/>
    <w:rsid w:val="00EE3E0C"/>
    <w:rsid w:val="00EE499E"/>
    <w:rsid w:val="00EE4A46"/>
    <w:rsid w:val="00EE4F1F"/>
    <w:rsid w:val="00EE64DE"/>
    <w:rsid w:val="00EE7550"/>
    <w:rsid w:val="00EF0E2D"/>
    <w:rsid w:val="00EF1BCD"/>
    <w:rsid w:val="00EF3238"/>
    <w:rsid w:val="00EF7500"/>
    <w:rsid w:val="00EF7B74"/>
    <w:rsid w:val="00F00F29"/>
    <w:rsid w:val="00F02182"/>
    <w:rsid w:val="00F0293C"/>
    <w:rsid w:val="00F02C7B"/>
    <w:rsid w:val="00F02FCA"/>
    <w:rsid w:val="00F02FE7"/>
    <w:rsid w:val="00F04871"/>
    <w:rsid w:val="00F04D25"/>
    <w:rsid w:val="00F05B94"/>
    <w:rsid w:val="00F0736C"/>
    <w:rsid w:val="00F1098B"/>
    <w:rsid w:val="00F11996"/>
    <w:rsid w:val="00F1485E"/>
    <w:rsid w:val="00F15AF6"/>
    <w:rsid w:val="00F15D7E"/>
    <w:rsid w:val="00F2054C"/>
    <w:rsid w:val="00F24D24"/>
    <w:rsid w:val="00F263F3"/>
    <w:rsid w:val="00F2641F"/>
    <w:rsid w:val="00F27849"/>
    <w:rsid w:val="00F318F9"/>
    <w:rsid w:val="00F31C2F"/>
    <w:rsid w:val="00F31FCF"/>
    <w:rsid w:val="00F32EF3"/>
    <w:rsid w:val="00F34259"/>
    <w:rsid w:val="00F345D3"/>
    <w:rsid w:val="00F35486"/>
    <w:rsid w:val="00F3585D"/>
    <w:rsid w:val="00F36564"/>
    <w:rsid w:val="00F36A11"/>
    <w:rsid w:val="00F376ED"/>
    <w:rsid w:val="00F37EF0"/>
    <w:rsid w:val="00F401BA"/>
    <w:rsid w:val="00F404CA"/>
    <w:rsid w:val="00F40991"/>
    <w:rsid w:val="00F41245"/>
    <w:rsid w:val="00F424FA"/>
    <w:rsid w:val="00F442D5"/>
    <w:rsid w:val="00F44935"/>
    <w:rsid w:val="00F46184"/>
    <w:rsid w:val="00F47E28"/>
    <w:rsid w:val="00F506F1"/>
    <w:rsid w:val="00F51776"/>
    <w:rsid w:val="00F51F8D"/>
    <w:rsid w:val="00F52A82"/>
    <w:rsid w:val="00F53442"/>
    <w:rsid w:val="00F53681"/>
    <w:rsid w:val="00F53AF5"/>
    <w:rsid w:val="00F54AE4"/>
    <w:rsid w:val="00F55412"/>
    <w:rsid w:val="00F56E35"/>
    <w:rsid w:val="00F56FC1"/>
    <w:rsid w:val="00F6015C"/>
    <w:rsid w:val="00F63C7A"/>
    <w:rsid w:val="00F642C2"/>
    <w:rsid w:val="00F65612"/>
    <w:rsid w:val="00F65FAF"/>
    <w:rsid w:val="00F664D2"/>
    <w:rsid w:val="00F707AE"/>
    <w:rsid w:val="00F709D4"/>
    <w:rsid w:val="00F714AE"/>
    <w:rsid w:val="00F719C6"/>
    <w:rsid w:val="00F71A25"/>
    <w:rsid w:val="00F73DC6"/>
    <w:rsid w:val="00F760D3"/>
    <w:rsid w:val="00F76EF4"/>
    <w:rsid w:val="00F77585"/>
    <w:rsid w:val="00F779EE"/>
    <w:rsid w:val="00F80992"/>
    <w:rsid w:val="00F835CF"/>
    <w:rsid w:val="00F83AE7"/>
    <w:rsid w:val="00F84F12"/>
    <w:rsid w:val="00F8502D"/>
    <w:rsid w:val="00F85616"/>
    <w:rsid w:val="00F85C09"/>
    <w:rsid w:val="00F8716C"/>
    <w:rsid w:val="00F875F2"/>
    <w:rsid w:val="00F9186B"/>
    <w:rsid w:val="00F92352"/>
    <w:rsid w:val="00F93052"/>
    <w:rsid w:val="00F93E56"/>
    <w:rsid w:val="00F93FCD"/>
    <w:rsid w:val="00F94F42"/>
    <w:rsid w:val="00F94F8A"/>
    <w:rsid w:val="00FA12EA"/>
    <w:rsid w:val="00FA1CBD"/>
    <w:rsid w:val="00FA4E96"/>
    <w:rsid w:val="00FA4F29"/>
    <w:rsid w:val="00FA59A7"/>
    <w:rsid w:val="00FA5C72"/>
    <w:rsid w:val="00FA5FC0"/>
    <w:rsid w:val="00FA6C2A"/>
    <w:rsid w:val="00FA6FA2"/>
    <w:rsid w:val="00FB253F"/>
    <w:rsid w:val="00FB2F0F"/>
    <w:rsid w:val="00FB6505"/>
    <w:rsid w:val="00FB6915"/>
    <w:rsid w:val="00FC2586"/>
    <w:rsid w:val="00FC51AB"/>
    <w:rsid w:val="00FC611E"/>
    <w:rsid w:val="00FC6C8E"/>
    <w:rsid w:val="00FD29A0"/>
    <w:rsid w:val="00FD2C27"/>
    <w:rsid w:val="00FD2E70"/>
    <w:rsid w:val="00FD3DEC"/>
    <w:rsid w:val="00FD3FFD"/>
    <w:rsid w:val="00FD462B"/>
    <w:rsid w:val="00FD5F70"/>
    <w:rsid w:val="00FD7469"/>
    <w:rsid w:val="00FD7DFE"/>
    <w:rsid w:val="00FE02B6"/>
    <w:rsid w:val="00FE055E"/>
    <w:rsid w:val="00FE1283"/>
    <w:rsid w:val="00FE26EF"/>
    <w:rsid w:val="00FE30BC"/>
    <w:rsid w:val="00FE34D4"/>
    <w:rsid w:val="00FE3604"/>
    <w:rsid w:val="00FE6CA3"/>
    <w:rsid w:val="00FE7163"/>
    <w:rsid w:val="00FF12CA"/>
    <w:rsid w:val="00FF1348"/>
    <w:rsid w:val="00FF7221"/>
    <w:rsid w:val="00FF73D8"/>
    <w:rsid w:val="013D7B5F"/>
    <w:rsid w:val="014E0236"/>
    <w:rsid w:val="0162599B"/>
    <w:rsid w:val="017F6264"/>
    <w:rsid w:val="019F2F7C"/>
    <w:rsid w:val="01A050EF"/>
    <w:rsid w:val="01BF2638"/>
    <w:rsid w:val="01E26271"/>
    <w:rsid w:val="01ED6474"/>
    <w:rsid w:val="0211291E"/>
    <w:rsid w:val="021561E8"/>
    <w:rsid w:val="02B76A7A"/>
    <w:rsid w:val="032A1660"/>
    <w:rsid w:val="034228BB"/>
    <w:rsid w:val="03661A20"/>
    <w:rsid w:val="03BF5663"/>
    <w:rsid w:val="03E3120D"/>
    <w:rsid w:val="043F5378"/>
    <w:rsid w:val="044E11A1"/>
    <w:rsid w:val="04581CB1"/>
    <w:rsid w:val="04F1677B"/>
    <w:rsid w:val="04FC099E"/>
    <w:rsid w:val="05191440"/>
    <w:rsid w:val="0526151A"/>
    <w:rsid w:val="053A1FDF"/>
    <w:rsid w:val="05471B3F"/>
    <w:rsid w:val="05775371"/>
    <w:rsid w:val="057F6DC9"/>
    <w:rsid w:val="05FE7F0A"/>
    <w:rsid w:val="06C72B90"/>
    <w:rsid w:val="073C6A0C"/>
    <w:rsid w:val="07B872D6"/>
    <w:rsid w:val="07C46AA1"/>
    <w:rsid w:val="08597DD6"/>
    <w:rsid w:val="08FE5B91"/>
    <w:rsid w:val="09AA73C4"/>
    <w:rsid w:val="09F141EC"/>
    <w:rsid w:val="0A1C72DC"/>
    <w:rsid w:val="0A9F23E7"/>
    <w:rsid w:val="0AEA2F37"/>
    <w:rsid w:val="0AFB6608"/>
    <w:rsid w:val="0B204320"/>
    <w:rsid w:val="0B3E5438"/>
    <w:rsid w:val="0CAF2205"/>
    <w:rsid w:val="0CE95B9C"/>
    <w:rsid w:val="0D107D1B"/>
    <w:rsid w:val="0D3919E8"/>
    <w:rsid w:val="0D4F6645"/>
    <w:rsid w:val="0D906017"/>
    <w:rsid w:val="0DCD2DC7"/>
    <w:rsid w:val="0DF77E44"/>
    <w:rsid w:val="0E0E73AE"/>
    <w:rsid w:val="0EEF20B6"/>
    <w:rsid w:val="0F3C0DCA"/>
    <w:rsid w:val="0F7D6A6F"/>
    <w:rsid w:val="0FD05CFA"/>
    <w:rsid w:val="105C584D"/>
    <w:rsid w:val="10BB15FD"/>
    <w:rsid w:val="113D0264"/>
    <w:rsid w:val="114F3501"/>
    <w:rsid w:val="11A007F3"/>
    <w:rsid w:val="11B525A3"/>
    <w:rsid w:val="11B5604C"/>
    <w:rsid w:val="11F02A94"/>
    <w:rsid w:val="12FC7CAB"/>
    <w:rsid w:val="13427DB4"/>
    <w:rsid w:val="137F4C2F"/>
    <w:rsid w:val="14362B54"/>
    <w:rsid w:val="152C4C4E"/>
    <w:rsid w:val="15B70DD2"/>
    <w:rsid w:val="15E67C89"/>
    <w:rsid w:val="15E81CD9"/>
    <w:rsid w:val="1616330A"/>
    <w:rsid w:val="16A6122C"/>
    <w:rsid w:val="16BE3018"/>
    <w:rsid w:val="171F0487"/>
    <w:rsid w:val="17270FE2"/>
    <w:rsid w:val="177644D0"/>
    <w:rsid w:val="177A034E"/>
    <w:rsid w:val="17811F5F"/>
    <w:rsid w:val="180F0621"/>
    <w:rsid w:val="188D4935"/>
    <w:rsid w:val="18D266C6"/>
    <w:rsid w:val="191036C5"/>
    <w:rsid w:val="193D6E09"/>
    <w:rsid w:val="19781CCC"/>
    <w:rsid w:val="19C4221C"/>
    <w:rsid w:val="19D379B8"/>
    <w:rsid w:val="1A0D38E7"/>
    <w:rsid w:val="1A275EC6"/>
    <w:rsid w:val="1A3348FA"/>
    <w:rsid w:val="1A622A9C"/>
    <w:rsid w:val="1A903AFB"/>
    <w:rsid w:val="1AFB1F45"/>
    <w:rsid w:val="1B8D271B"/>
    <w:rsid w:val="1BB541A5"/>
    <w:rsid w:val="1C7862E7"/>
    <w:rsid w:val="1D7B5C55"/>
    <w:rsid w:val="1D8E2F21"/>
    <w:rsid w:val="1DAB29F9"/>
    <w:rsid w:val="1DB846A1"/>
    <w:rsid w:val="1DEE5DC6"/>
    <w:rsid w:val="1E0835A0"/>
    <w:rsid w:val="1E182062"/>
    <w:rsid w:val="1E656047"/>
    <w:rsid w:val="1E8474D2"/>
    <w:rsid w:val="1ED46416"/>
    <w:rsid w:val="1F121E8F"/>
    <w:rsid w:val="1F4615AA"/>
    <w:rsid w:val="1F8E6374"/>
    <w:rsid w:val="1FBC2C9C"/>
    <w:rsid w:val="1FC35DD8"/>
    <w:rsid w:val="1FD67831"/>
    <w:rsid w:val="204F0285"/>
    <w:rsid w:val="20BA2053"/>
    <w:rsid w:val="2119496F"/>
    <w:rsid w:val="216B3C59"/>
    <w:rsid w:val="21794B99"/>
    <w:rsid w:val="21C7319D"/>
    <w:rsid w:val="22325497"/>
    <w:rsid w:val="23007343"/>
    <w:rsid w:val="238E1172"/>
    <w:rsid w:val="23D81CD9"/>
    <w:rsid w:val="23DB5B3C"/>
    <w:rsid w:val="23E77DBC"/>
    <w:rsid w:val="24186138"/>
    <w:rsid w:val="250F65D3"/>
    <w:rsid w:val="255C3D7A"/>
    <w:rsid w:val="26166E2B"/>
    <w:rsid w:val="2630191E"/>
    <w:rsid w:val="26A526DC"/>
    <w:rsid w:val="26EE4083"/>
    <w:rsid w:val="26FE38CD"/>
    <w:rsid w:val="270A3B27"/>
    <w:rsid w:val="275367F2"/>
    <w:rsid w:val="279D6092"/>
    <w:rsid w:val="27C037A6"/>
    <w:rsid w:val="27D15F8C"/>
    <w:rsid w:val="282D2871"/>
    <w:rsid w:val="283A3CD4"/>
    <w:rsid w:val="287B7B98"/>
    <w:rsid w:val="28803A86"/>
    <w:rsid w:val="298446EA"/>
    <w:rsid w:val="29DB28B3"/>
    <w:rsid w:val="2A55782B"/>
    <w:rsid w:val="2A936DFF"/>
    <w:rsid w:val="2ACF5C4E"/>
    <w:rsid w:val="2B1F401F"/>
    <w:rsid w:val="2B25203D"/>
    <w:rsid w:val="2B292FC0"/>
    <w:rsid w:val="2B646CF9"/>
    <w:rsid w:val="2BA565AE"/>
    <w:rsid w:val="2BB66041"/>
    <w:rsid w:val="2BCE477D"/>
    <w:rsid w:val="2C286537"/>
    <w:rsid w:val="2CB2345D"/>
    <w:rsid w:val="2DF07425"/>
    <w:rsid w:val="2E00645C"/>
    <w:rsid w:val="2E2D7509"/>
    <w:rsid w:val="2E731311"/>
    <w:rsid w:val="2E836DBE"/>
    <w:rsid w:val="2ECD0A22"/>
    <w:rsid w:val="2F0D13BF"/>
    <w:rsid w:val="2F537A4B"/>
    <w:rsid w:val="2F752D96"/>
    <w:rsid w:val="2FC34324"/>
    <w:rsid w:val="30297BAF"/>
    <w:rsid w:val="30534401"/>
    <w:rsid w:val="30E93B07"/>
    <w:rsid w:val="31586953"/>
    <w:rsid w:val="317A4765"/>
    <w:rsid w:val="32092916"/>
    <w:rsid w:val="320B1D22"/>
    <w:rsid w:val="32147169"/>
    <w:rsid w:val="321B54E3"/>
    <w:rsid w:val="32230AE7"/>
    <w:rsid w:val="323F3786"/>
    <w:rsid w:val="32544288"/>
    <w:rsid w:val="32875D03"/>
    <w:rsid w:val="32B40B70"/>
    <w:rsid w:val="333E3BC2"/>
    <w:rsid w:val="34C91AD2"/>
    <w:rsid w:val="34DB1BC6"/>
    <w:rsid w:val="355B4B26"/>
    <w:rsid w:val="35AD0692"/>
    <w:rsid w:val="35CE131A"/>
    <w:rsid w:val="35E860DF"/>
    <w:rsid w:val="36340898"/>
    <w:rsid w:val="36341B73"/>
    <w:rsid w:val="363E22EB"/>
    <w:rsid w:val="36BD5820"/>
    <w:rsid w:val="36CE6C58"/>
    <w:rsid w:val="36E96615"/>
    <w:rsid w:val="36EB1FDB"/>
    <w:rsid w:val="370E5AF5"/>
    <w:rsid w:val="3720285A"/>
    <w:rsid w:val="373B05AC"/>
    <w:rsid w:val="3776777C"/>
    <w:rsid w:val="38A82550"/>
    <w:rsid w:val="38C97EFD"/>
    <w:rsid w:val="38D64315"/>
    <w:rsid w:val="392B65E5"/>
    <w:rsid w:val="399424F9"/>
    <w:rsid w:val="3A027F39"/>
    <w:rsid w:val="3A08469A"/>
    <w:rsid w:val="3A6C7509"/>
    <w:rsid w:val="3B296E11"/>
    <w:rsid w:val="3B447750"/>
    <w:rsid w:val="3B4B4BFC"/>
    <w:rsid w:val="3B60677A"/>
    <w:rsid w:val="3B625A65"/>
    <w:rsid w:val="3B796856"/>
    <w:rsid w:val="3BFF22FE"/>
    <w:rsid w:val="3C4E2A76"/>
    <w:rsid w:val="3C567170"/>
    <w:rsid w:val="3C7F3177"/>
    <w:rsid w:val="3DA83BAE"/>
    <w:rsid w:val="3DEC22C1"/>
    <w:rsid w:val="3E760834"/>
    <w:rsid w:val="3EAF7FD6"/>
    <w:rsid w:val="3ED43116"/>
    <w:rsid w:val="3F2D72BA"/>
    <w:rsid w:val="3F3A2089"/>
    <w:rsid w:val="3FE801DD"/>
    <w:rsid w:val="3FFF5388"/>
    <w:rsid w:val="40341AEF"/>
    <w:rsid w:val="40D72BE1"/>
    <w:rsid w:val="413B348B"/>
    <w:rsid w:val="42034401"/>
    <w:rsid w:val="42283769"/>
    <w:rsid w:val="422A2602"/>
    <w:rsid w:val="42425C09"/>
    <w:rsid w:val="42B8382A"/>
    <w:rsid w:val="43100304"/>
    <w:rsid w:val="436D5E90"/>
    <w:rsid w:val="4376401E"/>
    <w:rsid w:val="443937D0"/>
    <w:rsid w:val="45891FB3"/>
    <w:rsid w:val="45905EAD"/>
    <w:rsid w:val="45B35DD1"/>
    <w:rsid w:val="45C50027"/>
    <w:rsid w:val="4608371F"/>
    <w:rsid w:val="4626731B"/>
    <w:rsid w:val="464078D3"/>
    <w:rsid w:val="484F02A2"/>
    <w:rsid w:val="48787F3C"/>
    <w:rsid w:val="489D27D4"/>
    <w:rsid w:val="4916491B"/>
    <w:rsid w:val="492F02B7"/>
    <w:rsid w:val="49BA1396"/>
    <w:rsid w:val="49FC53B9"/>
    <w:rsid w:val="4A057D2F"/>
    <w:rsid w:val="4A0F7A5A"/>
    <w:rsid w:val="4A2C526F"/>
    <w:rsid w:val="4AAF6DD6"/>
    <w:rsid w:val="4B320132"/>
    <w:rsid w:val="4B354C8D"/>
    <w:rsid w:val="4B396FE7"/>
    <w:rsid w:val="4B6127C6"/>
    <w:rsid w:val="4B9E0E00"/>
    <w:rsid w:val="4BA21718"/>
    <w:rsid w:val="4BDE3438"/>
    <w:rsid w:val="4BFB7B88"/>
    <w:rsid w:val="4C1B647B"/>
    <w:rsid w:val="4C8710DC"/>
    <w:rsid w:val="4C940979"/>
    <w:rsid w:val="4CD771D1"/>
    <w:rsid w:val="4CDC0627"/>
    <w:rsid w:val="4CFF8560"/>
    <w:rsid w:val="4D622DD0"/>
    <w:rsid w:val="4D923BC0"/>
    <w:rsid w:val="4DE96FCA"/>
    <w:rsid w:val="4EA62EB9"/>
    <w:rsid w:val="4ECD3CCE"/>
    <w:rsid w:val="4ED17805"/>
    <w:rsid w:val="4ED54860"/>
    <w:rsid w:val="4F005E52"/>
    <w:rsid w:val="4F6D1BCD"/>
    <w:rsid w:val="4FD92656"/>
    <w:rsid w:val="4FF70075"/>
    <w:rsid w:val="50170F94"/>
    <w:rsid w:val="50492324"/>
    <w:rsid w:val="5061736E"/>
    <w:rsid w:val="51750092"/>
    <w:rsid w:val="51F6353C"/>
    <w:rsid w:val="51F86DBA"/>
    <w:rsid w:val="52320223"/>
    <w:rsid w:val="5238571D"/>
    <w:rsid w:val="52500E9E"/>
    <w:rsid w:val="527865F8"/>
    <w:rsid w:val="52B81F38"/>
    <w:rsid w:val="53F93B19"/>
    <w:rsid w:val="547F7206"/>
    <w:rsid w:val="56E56CB1"/>
    <w:rsid w:val="57437223"/>
    <w:rsid w:val="57476390"/>
    <w:rsid w:val="5774599C"/>
    <w:rsid w:val="57D34EB7"/>
    <w:rsid w:val="57F9448B"/>
    <w:rsid w:val="586F1DFB"/>
    <w:rsid w:val="589241F9"/>
    <w:rsid w:val="58CD6AD3"/>
    <w:rsid w:val="58D5792E"/>
    <w:rsid w:val="5A301F01"/>
    <w:rsid w:val="5AD73BF6"/>
    <w:rsid w:val="5B0979CC"/>
    <w:rsid w:val="5B5163B3"/>
    <w:rsid w:val="5B715653"/>
    <w:rsid w:val="5B815832"/>
    <w:rsid w:val="5B987DB9"/>
    <w:rsid w:val="5BAB5397"/>
    <w:rsid w:val="5BBC6A2B"/>
    <w:rsid w:val="5BC67EE5"/>
    <w:rsid w:val="5BF07644"/>
    <w:rsid w:val="5C245875"/>
    <w:rsid w:val="5C4E2774"/>
    <w:rsid w:val="5C4E46A0"/>
    <w:rsid w:val="5C675913"/>
    <w:rsid w:val="5C8207EE"/>
    <w:rsid w:val="5CBD507E"/>
    <w:rsid w:val="5CDB057C"/>
    <w:rsid w:val="5D327642"/>
    <w:rsid w:val="5D395350"/>
    <w:rsid w:val="5DF44970"/>
    <w:rsid w:val="5E0814CC"/>
    <w:rsid w:val="5E6C2644"/>
    <w:rsid w:val="5E7835C6"/>
    <w:rsid w:val="5E900175"/>
    <w:rsid w:val="5EA9322B"/>
    <w:rsid w:val="5EDD6FB1"/>
    <w:rsid w:val="5EF66416"/>
    <w:rsid w:val="5F0E273F"/>
    <w:rsid w:val="5F3D27AA"/>
    <w:rsid w:val="5F4F1379"/>
    <w:rsid w:val="5FAE461E"/>
    <w:rsid w:val="5FDC2B4C"/>
    <w:rsid w:val="60756869"/>
    <w:rsid w:val="614662C9"/>
    <w:rsid w:val="618D14B1"/>
    <w:rsid w:val="61957D79"/>
    <w:rsid w:val="61B91B38"/>
    <w:rsid w:val="61D75138"/>
    <w:rsid w:val="62C7043B"/>
    <w:rsid w:val="62E924A6"/>
    <w:rsid w:val="63091321"/>
    <w:rsid w:val="6333318E"/>
    <w:rsid w:val="63660521"/>
    <w:rsid w:val="64171A52"/>
    <w:rsid w:val="64791B68"/>
    <w:rsid w:val="64A2555D"/>
    <w:rsid w:val="654A2EE2"/>
    <w:rsid w:val="65D26342"/>
    <w:rsid w:val="66272F55"/>
    <w:rsid w:val="66A5642A"/>
    <w:rsid w:val="66B07D06"/>
    <w:rsid w:val="67356EAB"/>
    <w:rsid w:val="67835E93"/>
    <w:rsid w:val="67921C7B"/>
    <w:rsid w:val="68441504"/>
    <w:rsid w:val="687C07E2"/>
    <w:rsid w:val="68AB6ACE"/>
    <w:rsid w:val="68C53F3C"/>
    <w:rsid w:val="690821D4"/>
    <w:rsid w:val="69501D67"/>
    <w:rsid w:val="695A1CB3"/>
    <w:rsid w:val="6A7421ED"/>
    <w:rsid w:val="6A7B76C0"/>
    <w:rsid w:val="6AFB3C45"/>
    <w:rsid w:val="6B5968D6"/>
    <w:rsid w:val="6C90714C"/>
    <w:rsid w:val="6CA16A6E"/>
    <w:rsid w:val="6D2C180C"/>
    <w:rsid w:val="6DE80176"/>
    <w:rsid w:val="6E076DA5"/>
    <w:rsid w:val="6E7F16DE"/>
    <w:rsid w:val="6EB42773"/>
    <w:rsid w:val="6F1541A6"/>
    <w:rsid w:val="6F272CAF"/>
    <w:rsid w:val="6F6650EB"/>
    <w:rsid w:val="6FAF3458"/>
    <w:rsid w:val="6FEA5CFF"/>
    <w:rsid w:val="6FFE345A"/>
    <w:rsid w:val="70303A3E"/>
    <w:rsid w:val="70335C2F"/>
    <w:rsid w:val="705C7A2E"/>
    <w:rsid w:val="708C4053"/>
    <w:rsid w:val="70AE4B6D"/>
    <w:rsid w:val="70B825D8"/>
    <w:rsid w:val="70E257A0"/>
    <w:rsid w:val="71010986"/>
    <w:rsid w:val="718631F8"/>
    <w:rsid w:val="71D71F6B"/>
    <w:rsid w:val="71DF2872"/>
    <w:rsid w:val="721F5C06"/>
    <w:rsid w:val="722355B1"/>
    <w:rsid w:val="72473E87"/>
    <w:rsid w:val="7255007D"/>
    <w:rsid w:val="729055BB"/>
    <w:rsid w:val="72BC4683"/>
    <w:rsid w:val="72EC201A"/>
    <w:rsid w:val="72FF1D89"/>
    <w:rsid w:val="730F7489"/>
    <w:rsid w:val="73412825"/>
    <w:rsid w:val="734D694E"/>
    <w:rsid w:val="7395566A"/>
    <w:rsid w:val="74E97873"/>
    <w:rsid w:val="755723C0"/>
    <w:rsid w:val="75945B97"/>
    <w:rsid w:val="75F145C2"/>
    <w:rsid w:val="7625722B"/>
    <w:rsid w:val="764A3CD3"/>
    <w:rsid w:val="767F38E0"/>
    <w:rsid w:val="7691545E"/>
    <w:rsid w:val="769449FC"/>
    <w:rsid w:val="777D6759"/>
    <w:rsid w:val="77AC161E"/>
    <w:rsid w:val="77DDB926"/>
    <w:rsid w:val="781176C8"/>
    <w:rsid w:val="783D6DC7"/>
    <w:rsid w:val="784249B3"/>
    <w:rsid w:val="7899337F"/>
    <w:rsid w:val="792A543E"/>
    <w:rsid w:val="79993840"/>
    <w:rsid w:val="79C6785A"/>
    <w:rsid w:val="79E45220"/>
    <w:rsid w:val="79EF6412"/>
    <w:rsid w:val="79F84D59"/>
    <w:rsid w:val="79FB0A01"/>
    <w:rsid w:val="79FC1788"/>
    <w:rsid w:val="7A4B21AB"/>
    <w:rsid w:val="7AE908D4"/>
    <w:rsid w:val="7B066D1C"/>
    <w:rsid w:val="7B1024C8"/>
    <w:rsid w:val="7B161441"/>
    <w:rsid w:val="7B603411"/>
    <w:rsid w:val="7BFA65BD"/>
    <w:rsid w:val="7C2D5E4D"/>
    <w:rsid w:val="7CAE4FC8"/>
    <w:rsid w:val="7CE16A13"/>
    <w:rsid w:val="7D7508C6"/>
    <w:rsid w:val="7DA55C93"/>
    <w:rsid w:val="7DFB2D58"/>
    <w:rsid w:val="7DFD8B5B"/>
    <w:rsid w:val="7E0B2550"/>
    <w:rsid w:val="7E3F7ADC"/>
    <w:rsid w:val="7E7F3B18"/>
    <w:rsid w:val="7EAF3680"/>
    <w:rsid w:val="7EB36E10"/>
    <w:rsid w:val="7EDA065B"/>
    <w:rsid w:val="7EEF5C7E"/>
    <w:rsid w:val="7F2B0CBE"/>
    <w:rsid w:val="7F97E991"/>
    <w:rsid w:val="7FFC25E4"/>
    <w:rsid w:val="7FFE80BF"/>
    <w:rsid w:val="8F9DFF18"/>
    <w:rsid w:val="AA9BA5A2"/>
    <w:rsid w:val="B7FEBCB2"/>
    <w:rsid w:val="BDE9D9D0"/>
    <w:rsid w:val="CFFFA284"/>
    <w:rsid w:val="D9F5FEBC"/>
    <w:rsid w:val="F7F738DD"/>
    <w:rsid w:val="FDF66928"/>
    <w:rsid w:val="FEBE35DF"/>
    <w:rsid w:val="FF74C7CB"/>
    <w:rsid w:val="FFAAB82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szCs w:val="24"/>
      <w:lang w:val="en-US" w:eastAsia="zh-CN" w:bidi="ar-SA"/>
    </w:rPr>
  </w:style>
  <w:style w:type="paragraph" w:styleId="2">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Cambria" w:hAnsi="Cambria"/>
      <w:b/>
      <w:bCs/>
      <w:kern w:val="0"/>
      <w:sz w:val="32"/>
      <w:szCs w:val="32"/>
    </w:rPr>
  </w:style>
  <w:style w:type="paragraph" w:styleId="4">
    <w:name w:val="heading 3"/>
    <w:basedOn w:val="1"/>
    <w:next w:val="1"/>
    <w:link w:val="24"/>
    <w:qFormat/>
    <w:uiPriority w:val="9"/>
    <w:pPr>
      <w:widowControl/>
      <w:jc w:val="left"/>
      <w:outlineLvl w:val="2"/>
    </w:pPr>
    <w:rPr>
      <w:rFonts w:ascii="宋体" w:hAnsi="宋体"/>
      <w:b/>
      <w:bCs/>
      <w:kern w:val="0"/>
      <w:sz w:val="27"/>
      <w:szCs w:val="27"/>
    </w:rPr>
  </w:style>
  <w:style w:type="paragraph" w:styleId="5">
    <w:name w:val="heading 5"/>
    <w:basedOn w:val="1"/>
    <w:next w:val="1"/>
    <w:unhideWhenUsed/>
    <w:qFormat/>
    <w:uiPriority w:val="9"/>
    <w:pPr>
      <w:keepNext/>
      <w:keepLines/>
      <w:spacing w:before="280" w:after="290" w:line="376" w:lineRule="auto"/>
      <w:outlineLvl w:val="4"/>
    </w:pPr>
    <w:rPr>
      <w:b/>
      <w:bCs/>
      <w:sz w:val="28"/>
      <w:szCs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5"/>
    <w:unhideWhenUsed/>
    <w:qFormat/>
    <w:uiPriority w:val="99"/>
    <w:pPr>
      <w:jc w:val="left"/>
    </w:pPr>
  </w:style>
  <w:style w:type="paragraph" w:styleId="7">
    <w:name w:val="Body Text"/>
    <w:basedOn w:val="1"/>
    <w:qFormat/>
    <w:uiPriority w:val="0"/>
    <w:pPr>
      <w:jc w:val="right"/>
    </w:pPr>
    <w:rPr>
      <w:sz w:val="24"/>
    </w:rPr>
  </w:style>
  <w:style w:type="paragraph" w:styleId="8">
    <w:name w:val="Date"/>
    <w:basedOn w:val="1"/>
    <w:next w:val="1"/>
    <w:qFormat/>
    <w:uiPriority w:val="0"/>
    <w:pPr>
      <w:ind w:left="100" w:leftChars="2500"/>
    </w:pPr>
  </w:style>
  <w:style w:type="paragraph" w:styleId="9">
    <w:name w:val="Balloon Text"/>
    <w:basedOn w:val="1"/>
    <w:semiHidden/>
    <w:qFormat/>
    <w:uiPriority w:val="0"/>
    <w:rPr>
      <w:sz w:val="18"/>
      <w:szCs w:val="18"/>
    </w:rPr>
  </w:style>
  <w:style w:type="paragraph" w:styleId="10">
    <w:name w:val="footer"/>
    <w:basedOn w:val="1"/>
    <w:link w:val="23"/>
    <w:unhideWhenUsed/>
    <w:qFormat/>
    <w:uiPriority w:val="99"/>
    <w:pPr>
      <w:tabs>
        <w:tab w:val="center" w:pos="4153"/>
        <w:tab w:val="right" w:pos="8306"/>
      </w:tabs>
      <w:snapToGrid w:val="0"/>
      <w:jc w:val="left"/>
    </w:pPr>
    <w:rPr>
      <w:kern w:val="0"/>
      <w:sz w:val="18"/>
      <w:szCs w:val="18"/>
    </w:rPr>
  </w:style>
  <w:style w:type="paragraph" w:styleId="11">
    <w:name w:val="header"/>
    <w:basedOn w:val="1"/>
    <w:link w:val="27"/>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2">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3">
    <w:name w:val="annotation subject"/>
    <w:basedOn w:val="6"/>
    <w:next w:val="6"/>
    <w:link w:val="22"/>
    <w:unhideWhenUsed/>
    <w:qFormat/>
    <w:uiPriority w:val="99"/>
    <w:rPr>
      <w:b/>
      <w:bCs/>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22"/>
    <w:rPr>
      <w:b/>
      <w:bCs/>
    </w:rPr>
  </w:style>
  <w:style w:type="character" w:styleId="18">
    <w:name w:val="page number"/>
    <w:basedOn w:val="16"/>
    <w:qFormat/>
    <w:uiPriority w:val="0"/>
  </w:style>
  <w:style w:type="character" w:styleId="19">
    <w:name w:val="FollowedHyperlink"/>
    <w:basedOn w:val="16"/>
    <w:semiHidden/>
    <w:unhideWhenUsed/>
    <w:qFormat/>
    <w:uiPriority w:val="99"/>
    <w:rPr>
      <w:b/>
      <w:color w:val="666666"/>
      <w:sz w:val="24"/>
      <w:szCs w:val="24"/>
      <w:u w:val="none"/>
    </w:rPr>
  </w:style>
  <w:style w:type="character" w:styleId="20">
    <w:name w:val="Hyperlink"/>
    <w:unhideWhenUsed/>
    <w:qFormat/>
    <w:uiPriority w:val="99"/>
    <w:rPr>
      <w:color w:val="0000CC"/>
      <w:u w:val="single"/>
    </w:rPr>
  </w:style>
  <w:style w:type="character" w:styleId="21">
    <w:name w:val="annotation reference"/>
    <w:unhideWhenUsed/>
    <w:qFormat/>
    <w:uiPriority w:val="99"/>
    <w:rPr>
      <w:sz w:val="21"/>
      <w:szCs w:val="21"/>
    </w:rPr>
  </w:style>
  <w:style w:type="character" w:customStyle="1" w:styleId="22">
    <w:name w:val="批注主题 字符"/>
    <w:link w:val="13"/>
    <w:semiHidden/>
    <w:qFormat/>
    <w:uiPriority w:val="99"/>
    <w:rPr>
      <w:rFonts w:ascii="Times New Roman" w:hAnsi="Times New Roman"/>
      <w:b/>
      <w:bCs/>
      <w:kern w:val="2"/>
      <w:sz w:val="21"/>
      <w:szCs w:val="24"/>
    </w:rPr>
  </w:style>
  <w:style w:type="character" w:customStyle="1" w:styleId="23">
    <w:name w:val="页脚 字符"/>
    <w:link w:val="10"/>
    <w:qFormat/>
    <w:uiPriority w:val="99"/>
    <w:rPr>
      <w:sz w:val="18"/>
      <w:szCs w:val="18"/>
    </w:rPr>
  </w:style>
  <w:style w:type="character" w:customStyle="1" w:styleId="24">
    <w:name w:val="标题 3 字符"/>
    <w:link w:val="4"/>
    <w:qFormat/>
    <w:uiPriority w:val="9"/>
    <w:rPr>
      <w:rFonts w:ascii="宋体" w:hAnsi="宋体" w:cs="宋体"/>
      <w:b/>
      <w:bCs/>
      <w:sz w:val="27"/>
      <w:szCs w:val="27"/>
    </w:rPr>
  </w:style>
  <w:style w:type="character" w:customStyle="1" w:styleId="25">
    <w:name w:val="批注文字 字符"/>
    <w:link w:val="6"/>
    <w:semiHidden/>
    <w:qFormat/>
    <w:uiPriority w:val="99"/>
    <w:rPr>
      <w:rFonts w:ascii="Times New Roman" w:hAnsi="Times New Roman"/>
      <w:kern w:val="2"/>
      <w:sz w:val="21"/>
      <w:szCs w:val="24"/>
    </w:rPr>
  </w:style>
  <w:style w:type="character" w:customStyle="1" w:styleId="26">
    <w:name w:val="标题 1 字符"/>
    <w:link w:val="2"/>
    <w:qFormat/>
    <w:uiPriority w:val="9"/>
    <w:rPr>
      <w:rFonts w:ascii="Times New Roman" w:hAnsi="Times New Roman"/>
      <w:b/>
      <w:bCs/>
      <w:kern w:val="44"/>
      <w:sz w:val="44"/>
      <w:szCs w:val="44"/>
    </w:rPr>
  </w:style>
  <w:style w:type="character" w:customStyle="1" w:styleId="27">
    <w:name w:val="页眉 字符"/>
    <w:link w:val="11"/>
    <w:qFormat/>
    <w:uiPriority w:val="99"/>
    <w:rPr>
      <w:sz w:val="18"/>
      <w:szCs w:val="18"/>
    </w:rPr>
  </w:style>
  <w:style w:type="paragraph" w:customStyle="1" w:styleId="28">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29">
    <w:name w:val="Char Char1 Char Char Char Char Char Char Char"/>
    <w:basedOn w:val="1"/>
    <w:qFormat/>
    <w:uiPriority w:val="0"/>
    <w:pPr>
      <w:widowControl/>
      <w:spacing w:after="160" w:line="240" w:lineRule="exact"/>
      <w:jc w:val="left"/>
    </w:pPr>
    <w:rPr>
      <w:rFonts w:ascii="Tahoma" w:hAnsi="Tahoma" w:eastAsia="Times New Roman" w:cs="Tahoma"/>
      <w:kern w:val="0"/>
      <w:sz w:val="20"/>
      <w:szCs w:val="20"/>
      <w:lang w:eastAsia="en-US"/>
    </w:rPr>
  </w:style>
  <w:style w:type="paragraph" w:styleId="30">
    <w:name w:val="List Paragraph"/>
    <w:basedOn w:val="1"/>
    <w:unhideWhenUsed/>
    <w:qFormat/>
    <w:uiPriority w:val="99"/>
    <w:pPr>
      <w:ind w:firstLine="420" w:firstLineChars="200"/>
    </w:pPr>
  </w:style>
  <w:style w:type="paragraph" w:customStyle="1" w:styleId="31">
    <w:name w:val="列出段落1"/>
    <w:basedOn w:val="32"/>
    <w:unhideWhenUsed/>
    <w:qFormat/>
    <w:uiPriority w:val="99"/>
    <w:pPr>
      <w:tabs>
        <w:tab w:val="center" w:pos="4153"/>
        <w:tab w:val="right" w:pos="8306"/>
      </w:tabs>
      <w:ind w:firstLine="420" w:firstLineChars="200"/>
    </w:pPr>
  </w:style>
  <w:style w:type="paragraph" w:customStyle="1" w:styleId="32">
    <w:name w:val="Header1"/>
    <w:basedOn w:val="33"/>
    <w:qFormat/>
    <w:uiPriority w:val="99"/>
    <w:pPr>
      <w:pBdr>
        <w:top w:val="none" w:color="000000" w:sz="0" w:space="1"/>
        <w:left w:val="none" w:color="000000" w:sz="0" w:space="4"/>
        <w:bottom w:val="none" w:color="000000" w:sz="0" w:space="1"/>
        <w:right w:val="none" w:color="000000" w:sz="0" w:space="4"/>
        <w:between w:val="none" w:color="000000" w:sz="0" w:space="0"/>
      </w:pBdr>
      <w:tabs>
        <w:tab w:val="center" w:pos="4153"/>
        <w:tab w:val="right" w:pos="8306"/>
      </w:tabs>
    </w:pPr>
  </w:style>
  <w:style w:type="paragraph" w:customStyle="1" w:styleId="33">
    <w:name w:val="Footer1"/>
    <w:basedOn w:val="7"/>
    <w:qFormat/>
    <w:uiPriority w:val="99"/>
    <w:pPr>
      <w:tabs>
        <w:tab w:val="center" w:pos="4153"/>
        <w:tab w:val="right" w:pos="8306"/>
      </w:tabs>
      <w:jc w:val="left"/>
    </w:pPr>
    <w:rPr>
      <w:sz w:val="18"/>
    </w:rPr>
  </w:style>
  <w:style w:type="paragraph" w:customStyle="1" w:styleId="34">
    <w:name w:val="msonormal1"/>
    <w:qFormat/>
    <w:uiPriority w:val="0"/>
    <w:pPr>
      <w:widowControl w:val="0"/>
      <w:jc w:val="both"/>
    </w:pPr>
    <w:rPr>
      <w:rFonts w:asciiTheme="minorHAnsi" w:hAnsiTheme="minorHAnsi" w:eastAsiaTheme="minorEastAsia" w:cstheme="minorBidi"/>
      <w:color w:val="000000"/>
      <w:kern w:val="2"/>
      <w:sz w:val="21"/>
      <w:szCs w:val="24"/>
      <w:lang w:val="en-US" w:eastAsia="zh-CN" w:bidi="ar-SA"/>
    </w:rPr>
  </w:style>
  <w:style w:type="paragraph" w:customStyle="1" w:styleId="35">
    <w:name w:val="_Style 34"/>
    <w:basedOn w:val="1"/>
    <w:next w:val="1"/>
    <w:qFormat/>
    <w:uiPriority w:val="0"/>
    <w:pPr>
      <w:pBdr>
        <w:bottom w:val="single" w:color="auto" w:sz="6" w:space="1"/>
      </w:pBdr>
      <w:jc w:val="center"/>
    </w:pPr>
    <w:rPr>
      <w:rFonts w:ascii="Arial"/>
      <w:vanish/>
      <w:sz w:val="16"/>
    </w:rPr>
  </w:style>
  <w:style w:type="paragraph" w:customStyle="1" w:styleId="36">
    <w:name w:val="_Style 35"/>
    <w:basedOn w:val="1"/>
    <w:next w:val="1"/>
    <w:qFormat/>
    <w:uiPriority w:val="0"/>
    <w:pPr>
      <w:pBdr>
        <w:top w:val="single" w:color="auto" w:sz="6" w:space="1"/>
      </w:pBdr>
      <w:jc w:val="center"/>
    </w:pPr>
    <w:rPr>
      <w:rFonts w:ascii="Arial"/>
      <w:vanish/>
      <w:sz w:val="16"/>
    </w:rPr>
  </w:style>
  <w:style w:type="paragraph" w:customStyle="1" w:styleId="37">
    <w:name w:val="_Style 36"/>
    <w:basedOn w:val="1"/>
    <w:next w:val="1"/>
    <w:qFormat/>
    <w:uiPriority w:val="0"/>
    <w:pPr>
      <w:pBdr>
        <w:bottom w:val="single" w:color="auto" w:sz="6" w:space="1"/>
      </w:pBdr>
      <w:jc w:val="center"/>
    </w:pPr>
    <w:rPr>
      <w:rFonts w:ascii="Arial"/>
      <w:vanish/>
      <w:sz w:val="16"/>
    </w:rPr>
  </w:style>
  <w:style w:type="paragraph" w:customStyle="1" w:styleId="38">
    <w:name w:val="_Style 37"/>
    <w:basedOn w:val="1"/>
    <w:next w:val="1"/>
    <w:qFormat/>
    <w:uiPriority w:val="0"/>
    <w:pPr>
      <w:pBdr>
        <w:top w:val="single" w:color="auto" w:sz="6" w:space="1"/>
      </w:pBdr>
      <w:jc w:val="center"/>
    </w:pPr>
    <w:rPr>
      <w:rFonts w:ascii="Arial"/>
      <w:vanish/>
      <w:sz w:val="1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微软中国</Company>
  <Pages>27</Pages>
  <Words>11060</Words>
  <Characters>11838</Characters>
  <Lines>1</Lines>
  <Paragraphs>1</Paragraphs>
  <TotalTime>23</TotalTime>
  <ScaleCrop>false</ScaleCrop>
  <LinksUpToDate>false</LinksUpToDate>
  <CharactersWithSpaces>11889</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2020-12-19T18:18:00Z</dcterms:created>
  <dc:creator>USER</dc:creator>
  <cp:lastModifiedBy>会员部</cp:lastModifiedBy>
  <cp:lastPrinted>2023-04-10T01:42:00Z</cp:lastPrinted>
  <dcterms:modified xsi:type="dcterms:W3CDTF">2023-04-11T07:05:56Z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6F1EB91FBBAF49ED841AB7FB33772DD3_13</vt:lpwstr>
  </property>
</Properties>
</file>