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附件1：</w:t>
      </w:r>
    </w:p>
    <w:p>
      <w:pPr>
        <w:spacing w:line="540" w:lineRule="exact"/>
        <w:jc w:val="center"/>
        <w:rPr>
          <w:rFonts w:ascii="宋体" w:hAnsi="宋体" w:cs="宋体"/>
          <w:b/>
          <w:bCs/>
          <w:color w:val="000000"/>
          <w:spacing w:val="-6"/>
          <w:sz w:val="36"/>
          <w:szCs w:val="36"/>
        </w:rPr>
      </w:pPr>
      <w:r>
        <w:rPr>
          <w:rFonts w:hint="eastAsia" w:ascii="宋体" w:hAnsi="宋体" w:cs="宋体"/>
          <w:b/>
          <w:bCs/>
          <w:color w:val="000000"/>
          <w:spacing w:val="-6"/>
          <w:sz w:val="36"/>
          <w:szCs w:val="36"/>
        </w:rPr>
        <w:t>2022商业银行资产负债管理实务专题培训班</w:t>
      </w:r>
    </w:p>
    <w:p>
      <w:pPr>
        <w:spacing w:line="540" w:lineRule="exact"/>
        <w:jc w:val="center"/>
        <w:rPr>
          <w:rFonts w:ascii="宋体" w:hAnsi="宋体" w:cs="宋体"/>
          <w:b/>
          <w:bCs/>
          <w:color w:val="000000"/>
          <w:spacing w:val="-6"/>
          <w:sz w:val="36"/>
          <w:szCs w:val="36"/>
        </w:rPr>
      </w:pPr>
      <w:r>
        <w:rPr>
          <w:rFonts w:hint="eastAsia" w:ascii="宋体" w:hAnsi="宋体" w:cs="宋体"/>
          <w:b/>
          <w:bCs/>
          <w:color w:val="000000"/>
          <w:sz w:val="36"/>
          <w:szCs w:val="36"/>
        </w:rPr>
        <w:t>工 作 方 案</w:t>
      </w:r>
    </w:p>
    <w:p>
      <w:pPr>
        <w:spacing w:line="540" w:lineRule="exact"/>
        <w:ind w:firstLine="201" w:firstLineChars="200"/>
        <w:jc w:val="both"/>
        <w:rPr>
          <w:rFonts w:ascii="宋体" w:hAnsi="宋体" w:cs="宋体"/>
          <w:b/>
          <w:bCs/>
          <w:color w:val="000000"/>
          <w:sz w:val="10"/>
          <w:szCs w:val="10"/>
        </w:rPr>
      </w:pPr>
    </w:p>
    <w:p>
      <w:pPr>
        <w:spacing w:line="540" w:lineRule="exact"/>
        <w:ind w:firstLine="602" w:firstLineChars="200"/>
        <w:jc w:val="both"/>
        <w:rPr>
          <w:rFonts w:ascii="仿宋" w:hAnsi="仿宋" w:eastAsia="仿宋" w:cs="仿宋_GB2312"/>
          <w:b/>
          <w:bCs/>
          <w:sz w:val="30"/>
          <w:szCs w:val="30"/>
        </w:rPr>
      </w:pPr>
      <w:r>
        <w:rPr>
          <w:rFonts w:hint="eastAsia" w:ascii="仿宋" w:hAnsi="仿宋" w:eastAsia="仿宋" w:cs="仿宋_GB2312"/>
          <w:b/>
          <w:bCs/>
          <w:sz w:val="30"/>
          <w:szCs w:val="30"/>
        </w:rPr>
        <w:t>主管主办单位：中国总会计师协会</w:t>
      </w:r>
    </w:p>
    <w:p>
      <w:pPr>
        <w:spacing w:line="540" w:lineRule="exact"/>
        <w:ind w:firstLine="602" w:firstLineChars="200"/>
        <w:jc w:val="both"/>
        <w:rPr>
          <w:rFonts w:ascii="仿宋" w:hAnsi="仿宋" w:eastAsia="仿宋" w:cs="仿宋_GB2312"/>
          <w:b/>
          <w:bCs/>
          <w:color w:val="000000"/>
          <w:sz w:val="30"/>
          <w:szCs w:val="30"/>
        </w:rPr>
      </w:pPr>
      <w:r>
        <w:rPr>
          <w:rFonts w:hint="eastAsia" w:ascii="仿宋" w:hAnsi="仿宋" w:eastAsia="仿宋" w:cs="仿宋_GB2312"/>
          <w:b/>
          <w:bCs/>
          <w:sz w:val="30"/>
          <w:szCs w:val="30"/>
        </w:rPr>
        <w:t>委托承办单位：北京</w:t>
      </w:r>
      <w:r>
        <w:rPr>
          <w:rFonts w:hint="eastAsia" w:ascii="仿宋" w:hAnsi="仿宋" w:eastAsia="仿宋" w:cs="仿宋_GB2312"/>
          <w:b/>
          <w:bCs/>
          <w:color w:val="000000"/>
          <w:sz w:val="30"/>
          <w:szCs w:val="30"/>
        </w:rPr>
        <w:t>长训教育科技有限公司</w:t>
      </w:r>
    </w:p>
    <w:p>
      <w:pPr>
        <w:spacing w:line="540" w:lineRule="exact"/>
        <w:ind w:firstLine="602" w:firstLineChars="200"/>
        <w:jc w:val="both"/>
        <w:rPr>
          <w:rFonts w:ascii="仿宋" w:hAnsi="仿宋" w:eastAsia="仿宋" w:cs="仿宋_GB2312"/>
          <w:b/>
          <w:bCs/>
          <w:sz w:val="30"/>
          <w:szCs w:val="30"/>
        </w:rPr>
      </w:pPr>
    </w:p>
    <w:p>
      <w:pPr>
        <w:spacing w:line="540" w:lineRule="exact"/>
        <w:ind w:left="400" w:leftChars="200" w:firstLine="151" w:firstLineChars="50"/>
        <w:jc w:val="both"/>
        <w:rPr>
          <w:rFonts w:ascii="仿宋" w:hAnsi="仿宋" w:eastAsia="仿宋"/>
          <w:b/>
          <w:sz w:val="30"/>
          <w:szCs w:val="30"/>
        </w:rPr>
      </w:pPr>
      <w:r>
        <w:rPr>
          <w:rFonts w:hint="eastAsia" w:ascii="仿宋" w:hAnsi="仿宋" w:eastAsia="仿宋"/>
          <w:b/>
          <w:sz w:val="30"/>
          <w:szCs w:val="30"/>
        </w:rPr>
        <w:t>一、培训时间、地点</w:t>
      </w:r>
    </w:p>
    <w:p>
      <w:pPr>
        <w:adjustRightInd w:val="0"/>
        <w:snapToGrid w:val="0"/>
        <w:spacing w:line="54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第1期  2022年3月25日—28日（25日报到）  杭州市</w:t>
      </w:r>
    </w:p>
    <w:p>
      <w:pPr>
        <w:adjustRightInd w:val="0"/>
        <w:snapToGrid w:val="0"/>
        <w:spacing w:line="54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 xml:space="preserve">第2期  2022年4月15日—18日（15日报到）  厦门市 </w:t>
      </w:r>
    </w:p>
    <w:p>
      <w:pPr>
        <w:adjustRightInd w:val="0"/>
        <w:snapToGrid w:val="0"/>
        <w:spacing w:line="54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第3期  2022年5月20日—23日（20日报到）  成都市</w:t>
      </w:r>
    </w:p>
    <w:p>
      <w:pPr>
        <w:adjustRightInd w:val="0"/>
        <w:snapToGrid w:val="0"/>
        <w:spacing w:line="54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第4期  2022年6月17日—20日（17日报到）  大连市</w:t>
      </w:r>
    </w:p>
    <w:p>
      <w:pPr>
        <w:adjustRightInd w:val="0"/>
        <w:snapToGrid w:val="0"/>
        <w:spacing w:line="54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第5期  2022年9月23日—26日（23日报到）  桂林市</w:t>
      </w:r>
    </w:p>
    <w:p>
      <w:pPr>
        <w:adjustRightInd w:val="0"/>
        <w:snapToGrid w:val="0"/>
        <w:spacing w:line="54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 xml:space="preserve">第6期  2022年10月21日—24日（21日报到） 苏州市 </w:t>
      </w:r>
    </w:p>
    <w:p>
      <w:pPr>
        <w:adjustRightInd w:val="0"/>
        <w:snapToGrid w:val="0"/>
        <w:spacing w:line="54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第7期  2022年11月18日—21日（18日报到） 三亚市</w:t>
      </w:r>
    </w:p>
    <w:p>
      <w:pPr>
        <w:spacing w:line="540" w:lineRule="exact"/>
        <w:ind w:firstLine="602" w:firstLineChars="200"/>
        <w:rPr>
          <w:rFonts w:ascii="仿宋" w:hAnsi="仿宋" w:eastAsia="仿宋" w:cs="仿宋_GB2312"/>
          <w:b/>
          <w:color w:val="000000"/>
          <w:sz w:val="30"/>
          <w:szCs w:val="30"/>
        </w:rPr>
      </w:pPr>
      <w:r>
        <w:rPr>
          <w:rFonts w:hint="eastAsia" w:ascii="仿宋" w:hAnsi="仿宋" w:eastAsia="仿宋" w:cs="仿宋_GB2312"/>
          <w:b/>
          <w:color w:val="000000"/>
          <w:sz w:val="30"/>
          <w:szCs w:val="30"/>
        </w:rPr>
        <w:t>二、培训师资</w:t>
      </w:r>
    </w:p>
    <w:p>
      <w:pPr>
        <w:adjustRightInd w:val="0"/>
        <w:snapToGrid w:val="0"/>
        <w:spacing w:line="540" w:lineRule="exact"/>
        <w:ind w:firstLine="600" w:firstLineChars="200"/>
        <w:jc w:val="both"/>
        <w:rPr>
          <w:rFonts w:ascii="仿宋" w:hAnsi="仿宋" w:eastAsia="仿宋" w:cs="仿宋_GB2312"/>
          <w:color w:val="000000"/>
          <w:sz w:val="30"/>
          <w:szCs w:val="30"/>
        </w:rPr>
      </w:pPr>
      <w:r>
        <w:rPr>
          <w:rFonts w:hint="eastAsia" w:ascii="仿宋" w:hAnsi="仿宋" w:eastAsia="仿宋" w:cs="仿宋_GB2312"/>
          <w:color w:val="000000"/>
          <w:sz w:val="30"/>
          <w:szCs w:val="30"/>
        </w:rPr>
        <w:t>中国银保监会、中国人民银行相关专家，国内外著名银行业金融机构中实战经验丰富的资产负债管理部负责人，四大会计师事务所权威专家与会，进行专题讲授，并举办经验交流和案例分享。</w:t>
      </w:r>
    </w:p>
    <w:p>
      <w:pPr>
        <w:spacing w:line="540" w:lineRule="exact"/>
        <w:ind w:firstLine="602" w:firstLineChars="200"/>
        <w:rPr>
          <w:rFonts w:ascii="仿宋" w:hAnsi="仿宋" w:eastAsia="仿宋" w:cs="仿宋_GB2312"/>
          <w:b/>
          <w:color w:val="000000"/>
          <w:sz w:val="30"/>
          <w:szCs w:val="30"/>
        </w:rPr>
      </w:pPr>
      <w:r>
        <w:rPr>
          <w:rFonts w:hint="eastAsia" w:ascii="仿宋" w:hAnsi="仿宋" w:eastAsia="仿宋" w:cs="仿宋_GB2312"/>
          <w:b/>
          <w:color w:val="000000"/>
          <w:sz w:val="30"/>
          <w:szCs w:val="30"/>
        </w:rPr>
        <w:t>三、培训对象</w:t>
      </w:r>
    </w:p>
    <w:p>
      <w:pPr>
        <w:adjustRightInd w:val="0"/>
        <w:snapToGrid w:val="0"/>
        <w:spacing w:line="540" w:lineRule="exact"/>
        <w:ind w:firstLine="600" w:firstLineChars="200"/>
        <w:jc w:val="both"/>
        <w:rPr>
          <w:rFonts w:ascii="仿宋" w:hAnsi="仿宋" w:eastAsia="仿宋" w:cs="仿宋_GB2312"/>
          <w:color w:val="000000"/>
          <w:sz w:val="30"/>
          <w:szCs w:val="30"/>
        </w:rPr>
      </w:pPr>
      <w:r>
        <w:rPr>
          <w:rFonts w:hint="eastAsia" w:ascii="仿宋" w:hAnsi="仿宋" w:eastAsia="仿宋" w:cs="仿宋_GB2312"/>
          <w:color w:val="000000"/>
          <w:sz w:val="30"/>
          <w:szCs w:val="30"/>
        </w:rPr>
        <w:t>(一)各商业银行分管领导，资产负债管理部、风险管理部、信贷部、合规部等部门负责人及业务骨干；</w:t>
      </w:r>
    </w:p>
    <w:p>
      <w:pPr>
        <w:adjustRightInd w:val="0"/>
        <w:snapToGrid w:val="0"/>
        <w:spacing w:line="540" w:lineRule="exact"/>
        <w:ind w:firstLine="600" w:firstLineChars="200"/>
        <w:jc w:val="both"/>
        <w:rPr>
          <w:rFonts w:ascii="仿宋" w:hAnsi="仿宋" w:eastAsia="仿宋" w:cs="仿宋_GB2312"/>
          <w:color w:val="000000"/>
          <w:sz w:val="30"/>
          <w:szCs w:val="30"/>
        </w:rPr>
      </w:pPr>
      <w:r>
        <w:rPr>
          <w:rFonts w:hint="eastAsia" w:ascii="仿宋" w:hAnsi="仿宋" w:eastAsia="仿宋" w:cs="仿宋_GB2312"/>
          <w:color w:val="000000"/>
          <w:sz w:val="30"/>
          <w:szCs w:val="30"/>
        </w:rPr>
        <w:t>(二)监管机构和行业组织相关业务负责人</w:t>
      </w:r>
      <w:r>
        <w:rPr>
          <w:rFonts w:hint="eastAsia" w:ascii="仿宋" w:hAnsi="仿宋" w:eastAsia="仿宋" w:cs="仿宋_GB2312"/>
          <w:color w:val="000000"/>
          <w:spacing w:val="-6"/>
          <w:sz w:val="30"/>
          <w:szCs w:val="30"/>
        </w:rPr>
        <w:t>。</w:t>
      </w:r>
    </w:p>
    <w:p>
      <w:pPr>
        <w:spacing w:line="540" w:lineRule="exact"/>
        <w:ind w:firstLine="602" w:firstLineChars="200"/>
        <w:jc w:val="both"/>
        <w:rPr>
          <w:rFonts w:ascii="仿宋" w:hAnsi="仿宋" w:eastAsia="仿宋"/>
          <w:b/>
          <w:sz w:val="30"/>
          <w:szCs w:val="30"/>
        </w:rPr>
      </w:pPr>
      <w:r>
        <w:rPr>
          <w:rFonts w:hint="eastAsia" w:ascii="仿宋" w:hAnsi="仿宋" w:eastAsia="仿宋"/>
          <w:b/>
          <w:sz w:val="30"/>
          <w:szCs w:val="30"/>
        </w:rPr>
        <w:t>四、培训课程</w:t>
      </w:r>
    </w:p>
    <w:p>
      <w:pPr>
        <w:adjustRightInd w:val="0"/>
        <w:snapToGrid w:val="0"/>
        <w:spacing w:line="540" w:lineRule="exact"/>
        <w:ind w:firstLine="602" w:firstLineChars="200"/>
        <w:jc w:val="both"/>
        <w:rPr>
          <w:rFonts w:ascii="仿宋" w:hAnsi="仿宋" w:eastAsia="仿宋" w:cs="仿宋_GB2312"/>
          <w:b/>
          <w:color w:val="000000"/>
          <w:sz w:val="30"/>
          <w:szCs w:val="30"/>
        </w:rPr>
      </w:pPr>
      <w:r>
        <w:rPr>
          <w:rFonts w:hint="eastAsia" w:ascii="仿宋" w:hAnsi="仿宋" w:eastAsia="仿宋" w:cs="仿宋_GB2312"/>
          <w:b/>
          <w:color w:val="000000"/>
          <w:sz w:val="30"/>
          <w:szCs w:val="30"/>
          <w:lang w:val="en-US" w:eastAsia="zh-CN"/>
        </w:rPr>
        <w:t>专题</w:t>
      </w:r>
      <w:r>
        <w:rPr>
          <w:rFonts w:hint="eastAsia" w:ascii="仿宋" w:hAnsi="仿宋" w:eastAsia="仿宋" w:cs="仿宋_GB2312"/>
          <w:b/>
          <w:color w:val="000000"/>
          <w:sz w:val="30"/>
          <w:szCs w:val="30"/>
        </w:rPr>
        <w:t>一：商业银行资产负债管理监管制度框架详解</w:t>
      </w:r>
    </w:p>
    <w:p>
      <w:pPr>
        <w:adjustRightInd w:val="0"/>
        <w:snapToGrid w:val="0"/>
        <w:spacing w:line="540" w:lineRule="exact"/>
        <w:ind w:firstLine="602" w:firstLineChars="200"/>
        <w:jc w:val="both"/>
        <w:rPr>
          <w:rFonts w:ascii="仿宋" w:hAnsi="仿宋" w:eastAsia="仿宋" w:cs="仿宋_GB2312"/>
          <w:b/>
          <w:color w:val="000000"/>
          <w:sz w:val="30"/>
          <w:szCs w:val="30"/>
        </w:rPr>
      </w:pPr>
      <w:r>
        <w:rPr>
          <w:rFonts w:hint="eastAsia" w:ascii="仿宋" w:hAnsi="仿宋" w:eastAsia="仿宋" w:cs="仿宋_GB2312"/>
          <w:b/>
          <w:color w:val="000000"/>
          <w:sz w:val="30"/>
          <w:szCs w:val="30"/>
          <w:lang w:val="en-US" w:eastAsia="zh-CN"/>
        </w:rPr>
        <w:t>专题</w:t>
      </w:r>
      <w:r>
        <w:rPr>
          <w:rFonts w:hint="eastAsia" w:ascii="仿宋" w:hAnsi="仿宋" w:eastAsia="仿宋" w:cs="仿宋_GB2312"/>
          <w:b/>
          <w:color w:val="000000"/>
          <w:sz w:val="30"/>
          <w:szCs w:val="30"/>
        </w:rPr>
        <w:t>二：商业银行资产负债管理实务</w:t>
      </w:r>
    </w:p>
    <w:p>
      <w:pPr>
        <w:adjustRightInd w:val="0"/>
        <w:snapToGrid w:val="0"/>
        <w:spacing w:line="540" w:lineRule="exact"/>
        <w:ind w:firstLine="600" w:firstLineChars="200"/>
        <w:jc w:val="both"/>
        <w:rPr>
          <w:rFonts w:ascii="仿宋" w:hAnsi="仿宋" w:eastAsia="仿宋" w:cs="仿宋_GB2312"/>
          <w:bCs/>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w:t>
      </w:r>
      <w:r>
        <w:rPr>
          <w:rFonts w:hint="eastAsia" w:ascii="仿宋" w:hAnsi="仿宋" w:eastAsia="仿宋" w:cs="仿宋_GB2312"/>
          <w:bCs/>
          <w:sz w:val="30"/>
          <w:szCs w:val="30"/>
        </w:rPr>
        <w:t>资产负债管理的组织架构</w:t>
      </w:r>
    </w:p>
    <w:p>
      <w:pPr>
        <w:adjustRightInd w:val="0"/>
        <w:snapToGrid w:val="0"/>
        <w:spacing w:line="540" w:lineRule="exact"/>
        <w:ind w:firstLine="600" w:firstLineChars="200"/>
        <w:jc w:val="both"/>
        <w:rPr>
          <w:rFonts w:ascii="仿宋" w:hAnsi="仿宋" w:eastAsia="仿宋" w:cs="仿宋_GB2312"/>
          <w:bCs/>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w:t>
      </w:r>
      <w:r>
        <w:rPr>
          <w:rFonts w:hint="eastAsia" w:ascii="仿宋" w:hAnsi="仿宋" w:eastAsia="仿宋" w:cs="仿宋_GB2312"/>
          <w:bCs/>
          <w:sz w:val="30"/>
          <w:szCs w:val="30"/>
        </w:rPr>
        <w:t>资产负债管理的目标和原则</w:t>
      </w:r>
    </w:p>
    <w:p>
      <w:pPr>
        <w:adjustRightInd w:val="0"/>
        <w:snapToGrid w:val="0"/>
        <w:spacing w:line="540" w:lineRule="exact"/>
        <w:ind w:firstLine="600" w:firstLineChars="200"/>
        <w:jc w:val="both"/>
        <w:rPr>
          <w:rFonts w:ascii="仿宋" w:hAnsi="仿宋" w:eastAsia="仿宋" w:cs="仿宋_GB2312"/>
          <w:bCs/>
          <w:color w:val="000000"/>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资产负债管理要坚持的导向</w:t>
      </w:r>
    </w:p>
    <w:p>
      <w:pPr>
        <w:adjustRightInd w:val="0"/>
        <w:snapToGrid w:val="0"/>
        <w:spacing w:line="540" w:lineRule="exact"/>
        <w:ind w:firstLine="600" w:firstLineChars="200"/>
        <w:jc w:val="both"/>
        <w:rPr>
          <w:rFonts w:ascii="仿宋" w:hAnsi="仿宋" w:eastAsia="仿宋" w:cs="仿宋_GB2312"/>
          <w:bCs/>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w:t>
      </w:r>
      <w:r>
        <w:rPr>
          <w:rFonts w:hint="eastAsia" w:ascii="仿宋" w:hAnsi="仿宋" w:eastAsia="仿宋" w:cs="仿宋_GB2312"/>
          <w:bCs/>
          <w:sz w:val="30"/>
          <w:szCs w:val="30"/>
        </w:rPr>
        <w:t>资产负债管理要处理好的关系</w:t>
      </w:r>
    </w:p>
    <w:p>
      <w:pPr>
        <w:adjustRightInd w:val="0"/>
        <w:snapToGrid w:val="0"/>
        <w:spacing w:line="540" w:lineRule="exact"/>
        <w:ind w:firstLine="600" w:firstLineChars="200"/>
        <w:jc w:val="both"/>
        <w:rPr>
          <w:rFonts w:ascii="仿宋" w:hAnsi="仿宋" w:eastAsia="仿宋" w:cs="仿宋_GB2312"/>
          <w:bCs/>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w:t>
      </w:r>
      <w:r>
        <w:rPr>
          <w:rFonts w:hint="eastAsia" w:ascii="仿宋" w:hAnsi="仿宋" w:eastAsia="仿宋" w:cs="仿宋_GB2312"/>
          <w:bCs/>
          <w:sz w:val="30"/>
          <w:szCs w:val="30"/>
        </w:rPr>
        <w:t>资产负债管理运作策略</w:t>
      </w:r>
    </w:p>
    <w:p>
      <w:pPr>
        <w:adjustRightInd w:val="0"/>
        <w:snapToGrid w:val="0"/>
        <w:spacing w:line="540" w:lineRule="exact"/>
        <w:ind w:firstLine="602" w:firstLineChars="200"/>
        <w:jc w:val="both"/>
        <w:rPr>
          <w:rFonts w:ascii="仿宋" w:hAnsi="仿宋" w:eastAsia="仿宋" w:cs="仿宋_GB2312"/>
          <w:b/>
          <w:color w:val="000000"/>
          <w:sz w:val="30"/>
          <w:szCs w:val="30"/>
        </w:rPr>
      </w:pPr>
      <w:r>
        <w:rPr>
          <w:rFonts w:hint="eastAsia" w:ascii="仿宋" w:hAnsi="仿宋" w:eastAsia="仿宋" w:cs="仿宋_GB2312"/>
          <w:b/>
          <w:color w:val="000000"/>
          <w:sz w:val="30"/>
          <w:szCs w:val="30"/>
          <w:lang w:val="en-US" w:eastAsia="zh-CN"/>
        </w:rPr>
        <w:t>专题</w:t>
      </w:r>
      <w:r>
        <w:rPr>
          <w:rFonts w:hint="eastAsia" w:ascii="仿宋" w:hAnsi="仿宋" w:eastAsia="仿宋" w:cs="仿宋_GB2312"/>
          <w:b/>
          <w:color w:val="000000"/>
          <w:sz w:val="30"/>
          <w:szCs w:val="30"/>
        </w:rPr>
        <w:t>三：商业银行定价管理实务</w:t>
      </w:r>
    </w:p>
    <w:p>
      <w:pPr>
        <w:adjustRightInd w:val="0"/>
        <w:snapToGrid w:val="0"/>
        <w:spacing w:line="540" w:lineRule="exact"/>
        <w:ind w:firstLine="600" w:firstLineChars="200"/>
        <w:jc w:val="both"/>
        <w:rPr>
          <w:rFonts w:ascii="仿宋" w:hAnsi="仿宋" w:eastAsia="仿宋" w:cs="仿宋_GB2312"/>
          <w:bCs/>
          <w:color w:val="000000"/>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w:t>
      </w:r>
      <w:r>
        <w:rPr>
          <w:rFonts w:ascii="仿宋" w:hAnsi="仿宋" w:eastAsia="仿宋" w:cs="仿宋_GB2312"/>
          <w:bCs/>
          <w:color w:val="000000"/>
          <w:sz w:val="30"/>
          <w:szCs w:val="30"/>
        </w:rPr>
        <w:t>利率市场化改革</w:t>
      </w:r>
      <w:r>
        <w:rPr>
          <w:rFonts w:hint="eastAsia" w:ascii="仿宋" w:hAnsi="仿宋" w:eastAsia="仿宋" w:cs="仿宋_GB2312"/>
          <w:bCs/>
          <w:color w:val="000000"/>
          <w:sz w:val="30"/>
          <w:szCs w:val="30"/>
        </w:rPr>
        <w:t>与</w:t>
      </w:r>
      <w:r>
        <w:rPr>
          <w:rFonts w:ascii="仿宋" w:hAnsi="仿宋" w:eastAsia="仿宋" w:cs="仿宋_GB2312"/>
          <w:bCs/>
          <w:color w:val="000000"/>
          <w:sz w:val="30"/>
          <w:szCs w:val="30"/>
        </w:rPr>
        <w:t>定价管理</w:t>
      </w:r>
    </w:p>
    <w:p>
      <w:pPr>
        <w:adjustRightInd w:val="0"/>
        <w:snapToGrid w:val="0"/>
        <w:spacing w:line="540" w:lineRule="exact"/>
        <w:ind w:firstLine="600" w:firstLineChars="200"/>
        <w:jc w:val="both"/>
        <w:rPr>
          <w:rFonts w:ascii="仿宋" w:hAnsi="仿宋" w:eastAsia="仿宋" w:cs="仿宋_GB2312"/>
          <w:bCs/>
          <w:color w:val="000000"/>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定价策略与管理架构</w:t>
      </w:r>
    </w:p>
    <w:p>
      <w:pPr>
        <w:adjustRightInd w:val="0"/>
        <w:snapToGrid w:val="0"/>
        <w:spacing w:line="540" w:lineRule="exact"/>
        <w:ind w:firstLine="600" w:firstLineChars="200"/>
        <w:jc w:val="both"/>
        <w:rPr>
          <w:rFonts w:ascii="仿宋" w:hAnsi="仿宋" w:eastAsia="仿宋" w:cs="仿宋_GB2312"/>
          <w:bCs/>
          <w:color w:val="000000"/>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内部资金转移定价</w:t>
      </w:r>
    </w:p>
    <w:p>
      <w:pPr>
        <w:adjustRightInd w:val="0"/>
        <w:snapToGrid w:val="0"/>
        <w:spacing w:line="540" w:lineRule="exact"/>
        <w:ind w:firstLine="600" w:firstLineChars="200"/>
        <w:jc w:val="both"/>
        <w:rPr>
          <w:rFonts w:ascii="仿宋" w:hAnsi="仿宋" w:eastAsia="仿宋" w:cs="仿宋_GB2312"/>
          <w:bCs/>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w:t>
      </w:r>
      <w:r>
        <w:rPr>
          <w:rFonts w:hint="eastAsia" w:ascii="仿宋" w:hAnsi="仿宋" w:eastAsia="仿宋" w:cs="仿宋_GB2312"/>
          <w:bCs/>
          <w:sz w:val="30"/>
          <w:szCs w:val="30"/>
        </w:rPr>
        <w:t>贷款定价方法</w:t>
      </w:r>
    </w:p>
    <w:p>
      <w:pPr>
        <w:adjustRightInd w:val="0"/>
        <w:snapToGrid w:val="0"/>
        <w:spacing w:line="540" w:lineRule="exact"/>
        <w:ind w:firstLine="600" w:firstLineChars="200"/>
        <w:jc w:val="both"/>
        <w:rPr>
          <w:rFonts w:ascii="仿宋" w:hAnsi="仿宋" w:eastAsia="仿宋" w:cs="仿宋_GB2312"/>
          <w:bCs/>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w:t>
      </w:r>
      <w:r>
        <w:rPr>
          <w:rFonts w:hint="eastAsia" w:ascii="仿宋" w:hAnsi="仿宋" w:eastAsia="仿宋" w:cs="仿宋_GB2312"/>
          <w:bCs/>
          <w:sz w:val="30"/>
          <w:szCs w:val="30"/>
        </w:rPr>
        <w:t>存款定价方法</w:t>
      </w:r>
    </w:p>
    <w:p>
      <w:pPr>
        <w:adjustRightInd w:val="0"/>
        <w:snapToGrid w:val="0"/>
        <w:spacing w:line="540" w:lineRule="exact"/>
        <w:ind w:firstLine="602" w:firstLineChars="200"/>
        <w:jc w:val="both"/>
        <w:rPr>
          <w:rFonts w:ascii="仿宋" w:hAnsi="仿宋" w:eastAsia="仿宋" w:cs="仿宋_GB2312"/>
          <w:b/>
          <w:color w:val="000000"/>
          <w:sz w:val="30"/>
          <w:szCs w:val="30"/>
        </w:rPr>
      </w:pPr>
      <w:r>
        <w:rPr>
          <w:rFonts w:hint="eastAsia" w:ascii="仿宋" w:hAnsi="仿宋" w:eastAsia="仿宋" w:cs="仿宋_GB2312"/>
          <w:b/>
          <w:color w:val="000000"/>
          <w:sz w:val="30"/>
          <w:szCs w:val="30"/>
          <w:lang w:val="en-US" w:eastAsia="zh-CN"/>
        </w:rPr>
        <w:t>专题</w:t>
      </w:r>
      <w:r>
        <w:rPr>
          <w:rFonts w:hint="eastAsia" w:ascii="仿宋" w:hAnsi="仿宋" w:eastAsia="仿宋" w:cs="仿宋_GB2312"/>
          <w:b/>
          <w:color w:val="000000"/>
          <w:sz w:val="30"/>
          <w:szCs w:val="30"/>
        </w:rPr>
        <w:t>四：商业银行流动性风险管理实务</w:t>
      </w:r>
    </w:p>
    <w:p>
      <w:pPr>
        <w:adjustRightInd w:val="0"/>
        <w:snapToGrid w:val="0"/>
        <w:spacing w:line="540" w:lineRule="exact"/>
        <w:ind w:firstLine="600" w:firstLineChars="200"/>
        <w:jc w:val="both"/>
        <w:rPr>
          <w:rFonts w:ascii="仿宋" w:hAnsi="仿宋" w:eastAsia="仿宋" w:cs="仿宋_GB2312"/>
          <w:bCs/>
          <w:color w:val="000000"/>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流动性风险管理体系</w:t>
      </w:r>
    </w:p>
    <w:p>
      <w:pPr>
        <w:adjustRightInd w:val="0"/>
        <w:snapToGrid w:val="0"/>
        <w:spacing w:line="540" w:lineRule="exact"/>
        <w:ind w:firstLine="600" w:firstLineChars="200"/>
        <w:jc w:val="both"/>
        <w:rPr>
          <w:rFonts w:ascii="仿宋" w:hAnsi="仿宋" w:eastAsia="仿宋" w:cs="仿宋_GB2312"/>
          <w:bCs/>
          <w:color w:val="000000"/>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日常资金头寸管理</w:t>
      </w:r>
    </w:p>
    <w:p>
      <w:pPr>
        <w:adjustRightInd w:val="0"/>
        <w:snapToGrid w:val="0"/>
        <w:spacing w:line="540" w:lineRule="exact"/>
        <w:ind w:firstLine="600" w:firstLineChars="200"/>
        <w:jc w:val="both"/>
        <w:rPr>
          <w:rFonts w:ascii="仿宋" w:hAnsi="仿宋" w:eastAsia="仿宋" w:cs="仿宋_GB2312"/>
          <w:bCs/>
          <w:color w:val="000000"/>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流动性风险计量与监测</w:t>
      </w:r>
    </w:p>
    <w:p>
      <w:pPr>
        <w:adjustRightInd w:val="0"/>
        <w:snapToGrid w:val="0"/>
        <w:spacing w:line="540" w:lineRule="exact"/>
        <w:ind w:firstLine="600" w:firstLineChars="200"/>
        <w:jc w:val="both"/>
        <w:rPr>
          <w:rFonts w:ascii="仿宋" w:hAnsi="仿宋" w:eastAsia="仿宋" w:cs="仿宋_GB2312"/>
          <w:bCs/>
          <w:color w:val="000000"/>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子公司流动性风险管理</w:t>
      </w:r>
    </w:p>
    <w:p>
      <w:pPr>
        <w:adjustRightInd w:val="0"/>
        <w:snapToGrid w:val="0"/>
        <w:spacing w:line="540" w:lineRule="exact"/>
        <w:ind w:firstLine="602" w:firstLineChars="200"/>
        <w:jc w:val="both"/>
        <w:rPr>
          <w:rFonts w:ascii="仿宋" w:hAnsi="仿宋" w:eastAsia="仿宋" w:cs="仿宋_GB2312"/>
          <w:b/>
          <w:color w:val="000000"/>
          <w:sz w:val="30"/>
          <w:szCs w:val="30"/>
        </w:rPr>
      </w:pPr>
      <w:r>
        <w:rPr>
          <w:rFonts w:hint="eastAsia" w:ascii="仿宋" w:hAnsi="仿宋" w:eastAsia="仿宋" w:cs="仿宋_GB2312"/>
          <w:b/>
          <w:color w:val="000000"/>
          <w:sz w:val="30"/>
          <w:szCs w:val="30"/>
          <w:lang w:val="en-US" w:eastAsia="zh-CN"/>
        </w:rPr>
        <w:t>专题</w:t>
      </w:r>
      <w:r>
        <w:rPr>
          <w:rFonts w:hint="eastAsia" w:ascii="仿宋" w:hAnsi="仿宋" w:eastAsia="仿宋" w:cs="仿宋_GB2312"/>
          <w:b/>
          <w:color w:val="000000"/>
          <w:sz w:val="30"/>
          <w:szCs w:val="30"/>
        </w:rPr>
        <w:t>五：商业银行资本管理实务</w:t>
      </w:r>
    </w:p>
    <w:p>
      <w:pPr>
        <w:adjustRightInd w:val="0"/>
        <w:snapToGrid w:val="0"/>
        <w:spacing w:line="540" w:lineRule="exact"/>
        <w:ind w:firstLine="600" w:firstLineChars="200"/>
        <w:jc w:val="both"/>
        <w:rPr>
          <w:rFonts w:ascii="仿宋" w:hAnsi="仿宋" w:eastAsia="仿宋" w:cs="仿宋_GB2312"/>
          <w:bCs/>
          <w:color w:val="000000"/>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资本监管框架的形成及演进</w:t>
      </w:r>
    </w:p>
    <w:p>
      <w:pPr>
        <w:adjustRightInd w:val="0"/>
        <w:snapToGrid w:val="0"/>
        <w:spacing w:line="540" w:lineRule="exact"/>
        <w:ind w:firstLine="600" w:firstLineChars="200"/>
        <w:jc w:val="both"/>
        <w:rPr>
          <w:rFonts w:ascii="仿宋" w:hAnsi="仿宋" w:eastAsia="仿宋" w:cs="仿宋_GB2312"/>
          <w:bCs/>
          <w:color w:val="000000"/>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巴塞尔协议与银行资本管理</w:t>
      </w:r>
    </w:p>
    <w:p>
      <w:pPr>
        <w:adjustRightInd w:val="0"/>
        <w:snapToGrid w:val="0"/>
        <w:spacing w:line="540" w:lineRule="exact"/>
        <w:ind w:firstLine="600" w:firstLineChars="200"/>
        <w:jc w:val="both"/>
        <w:rPr>
          <w:rFonts w:ascii="仿宋" w:hAnsi="仿宋" w:eastAsia="仿宋" w:cs="仿宋_GB2312"/>
          <w:bCs/>
          <w:color w:val="000000"/>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经济资本应用—最低资本要求或资本充足率</w:t>
      </w:r>
    </w:p>
    <w:p>
      <w:pPr>
        <w:adjustRightInd w:val="0"/>
        <w:snapToGrid w:val="0"/>
        <w:spacing w:line="540" w:lineRule="exact"/>
        <w:ind w:firstLine="600" w:firstLineChars="200"/>
        <w:jc w:val="both"/>
        <w:rPr>
          <w:rFonts w:ascii="仿宋" w:hAnsi="仿宋" w:eastAsia="仿宋" w:cs="仿宋_GB2312"/>
          <w:bCs/>
          <w:color w:val="000000"/>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资本计量</w:t>
      </w:r>
    </w:p>
    <w:p>
      <w:pPr>
        <w:adjustRightInd w:val="0"/>
        <w:snapToGrid w:val="0"/>
        <w:spacing w:line="540" w:lineRule="exact"/>
        <w:ind w:firstLine="600" w:firstLineChars="200"/>
        <w:jc w:val="both"/>
        <w:rPr>
          <w:rFonts w:ascii="仿宋" w:hAnsi="仿宋" w:eastAsia="仿宋" w:cs="仿宋_GB2312"/>
          <w:bCs/>
          <w:color w:val="000000"/>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资本规划</w:t>
      </w:r>
    </w:p>
    <w:p>
      <w:pPr>
        <w:adjustRightInd w:val="0"/>
        <w:snapToGrid w:val="0"/>
        <w:spacing w:line="540" w:lineRule="exact"/>
        <w:ind w:firstLine="600" w:firstLineChars="200"/>
        <w:jc w:val="both"/>
        <w:rPr>
          <w:rFonts w:ascii="仿宋" w:hAnsi="仿宋" w:eastAsia="仿宋" w:cs="仿宋_GB2312"/>
          <w:bCs/>
          <w:color w:val="000000"/>
          <w:sz w:val="30"/>
          <w:szCs w:val="30"/>
        </w:rPr>
      </w:pPr>
      <w:r>
        <w:rPr>
          <w:rFonts w:hint="eastAsia" w:ascii="MS Mincho" w:hAnsi="MS Mincho" w:eastAsia="MS Mincho" w:cs="MS Mincho"/>
          <w:color w:val="000000"/>
          <w:sz w:val="30"/>
          <w:szCs w:val="30"/>
        </w:rPr>
        <w:t>▪</w:t>
      </w:r>
      <w:r>
        <w:rPr>
          <w:rFonts w:hint="eastAsia" w:ascii="仿宋" w:hAnsi="仿宋" w:eastAsia="仿宋" w:cs="仿宋_GB2312"/>
          <w:bCs/>
          <w:color w:val="000000"/>
          <w:sz w:val="30"/>
          <w:szCs w:val="30"/>
        </w:rPr>
        <w:t xml:space="preserve"> 资本筹集</w:t>
      </w:r>
    </w:p>
    <w:p>
      <w:pPr>
        <w:adjustRightInd w:val="0"/>
        <w:snapToGrid w:val="0"/>
        <w:spacing w:line="540" w:lineRule="exact"/>
        <w:ind w:firstLine="602" w:firstLineChars="200"/>
        <w:jc w:val="both"/>
        <w:rPr>
          <w:rFonts w:ascii="仿宋" w:hAnsi="仿宋" w:eastAsia="仿宋" w:cs="仿宋_GB2312"/>
          <w:b/>
          <w:color w:val="000000"/>
          <w:sz w:val="30"/>
          <w:szCs w:val="30"/>
        </w:rPr>
      </w:pPr>
      <w:r>
        <w:rPr>
          <w:rFonts w:hint="eastAsia" w:ascii="仿宋" w:hAnsi="仿宋" w:eastAsia="仿宋" w:cs="仿宋_GB2312"/>
          <w:b/>
          <w:color w:val="000000"/>
          <w:sz w:val="30"/>
          <w:szCs w:val="30"/>
          <w:lang w:val="en-US" w:eastAsia="zh-CN"/>
        </w:rPr>
        <w:t>专题</w:t>
      </w:r>
      <w:r>
        <w:rPr>
          <w:rFonts w:hint="eastAsia" w:ascii="仿宋" w:hAnsi="仿宋" w:eastAsia="仿宋" w:cs="仿宋_GB2312"/>
          <w:b/>
          <w:color w:val="000000"/>
          <w:sz w:val="30"/>
          <w:szCs w:val="30"/>
        </w:rPr>
        <w:t>六：商业银行资产负债管理技术创新与应用探索</w:t>
      </w:r>
    </w:p>
    <w:p>
      <w:pPr>
        <w:spacing w:line="540" w:lineRule="exact"/>
        <w:ind w:left="400" w:leftChars="200" w:firstLine="151" w:firstLineChars="50"/>
        <w:jc w:val="both"/>
        <w:rPr>
          <w:rFonts w:ascii="仿宋" w:hAnsi="仿宋" w:eastAsia="仿宋"/>
          <w:b/>
          <w:color w:val="000000"/>
          <w:sz w:val="30"/>
          <w:szCs w:val="30"/>
        </w:rPr>
      </w:pPr>
      <w:r>
        <w:rPr>
          <w:rFonts w:hint="eastAsia" w:ascii="仿宋" w:hAnsi="仿宋" w:eastAsia="仿宋"/>
          <w:b/>
          <w:color w:val="000000"/>
          <w:sz w:val="30"/>
          <w:szCs w:val="30"/>
        </w:rPr>
        <w:t>五、培训证书</w:t>
      </w:r>
    </w:p>
    <w:p>
      <w:pPr>
        <w:spacing w:line="540" w:lineRule="exact"/>
        <w:ind w:firstLine="600" w:firstLineChars="200"/>
        <w:rPr>
          <w:rFonts w:ascii="仿宋" w:hAnsi="仿宋" w:eastAsia="仿宋" w:cs="仿宋_GB2312"/>
          <w:b/>
          <w:bCs/>
          <w:sz w:val="30"/>
          <w:szCs w:val="30"/>
        </w:rPr>
      </w:pPr>
      <w:r>
        <w:rPr>
          <w:rFonts w:hint="eastAsia" w:ascii="仿宋" w:hAnsi="仿宋" w:eastAsia="仿宋"/>
          <w:color w:val="000000"/>
          <w:sz w:val="30"/>
          <w:szCs w:val="30"/>
        </w:rPr>
        <w:t xml:space="preserve">培训班学习期满，颁发中国总会计师协会《培训结业证书》。  </w:t>
      </w:r>
    </w:p>
    <w:p>
      <w:pPr>
        <w:spacing w:line="540" w:lineRule="exact"/>
        <w:ind w:firstLine="602" w:firstLineChars="200"/>
        <w:rPr>
          <w:rFonts w:ascii="仿宋" w:hAnsi="仿宋" w:eastAsia="仿宋" w:cs="仿宋_GB2312"/>
          <w:b/>
          <w:kern w:val="2"/>
          <w:sz w:val="30"/>
          <w:szCs w:val="30"/>
        </w:rPr>
      </w:pPr>
      <w:r>
        <w:rPr>
          <w:rFonts w:hint="eastAsia" w:ascii="仿宋" w:hAnsi="仿宋" w:eastAsia="仿宋" w:cs="仿宋_GB2312"/>
          <w:b/>
          <w:bCs/>
          <w:sz w:val="30"/>
          <w:szCs w:val="30"/>
        </w:rPr>
        <w:t>六、</w:t>
      </w:r>
      <w:r>
        <w:rPr>
          <w:rFonts w:hint="eastAsia" w:ascii="仿宋" w:hAnsi="仿宋" w:eastAsia="仿宋" w:cs="仿宋_GB2312"/>
          <w:b/>
          <w:sz w:val="30"/>
          <w:szCs w:val="30"/>
        </w:rPr>
        <w:t>收费标准</w:t>
      </w:r>
    </w:p>
    <w:p>
      <w:pPr>
        <w:spacing w:line="54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培训费2980元/人；食宿统一安排，费用自理；往返交通及费用由参会单位或个人自行办理。报名人员可在培训班开始前一周将费用汇至委托承办单位账户，并将银行汇款凭证发邮件至会务组，以便开具增值税专用发票。收款单位户名：北京长训教育科技有限公司；开户银行：中国工商银行股份有限公司北京科技园支行；账号：0200 2964 0920 0239 547。培训班也接受现场缴费。</w:t>
      </w:r>
    </w:p>
    <w:p>
      <w:pPr>
        <w:spacing w:line="540" w:lineRule="exact"/>
        <w:ind w:firstLine="599" w:firstLineChars="199"/>
        <w:jc w:val="both"/>
        <w:rPr>
          <w:rFonts w:ascii="仿宋" w:hAnsi="仿宋" w:eastAsia="仿宋" w:cs="仿宋_GB2312"/>
          <w:b/>
          <w:bCs/>
          <w:color w:val="000000"/>
          <w:sz w:val="30"/>
          <w:szCs w:val="30"/>
        </w:rPr>
      </w:pPr>
      <w:r>
        <w:rPr>
          <w:rFonts w:hint="eastAsia" w:ascii="仿宋" w:hAnsi="仿宋" w:eastAsia="仿宋" w:cs="仿宋_GB2312"/>
          <w:b/>
          <w:bCs/>
          <w:color w:val="000000"/>
          <w:sz w:val="30"/>
          <w:szCs w:val="30"/>
        </w:rPr>
        <w:t>七、报名及联系方式</w:t>
      </w:r>
    </w:p>
    <w:p>
      <w:pPr>
        <w:spacing w:line="54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(一)培训班相关信息和报名表格请见中国总会计师协会网站（http://www.cacfo.com/）培训工作专栏；</w:t>
      </w:r>
    </w:p>
    <w:p>
      <w:pPr>
        <w:spacing w:line="54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(二) 参训学员填写报名回执, 加盖公章，务必于培训班开始前一周发邮件至会务组。收到回执后,会务组将回信确认报名成功。</w:t>
      </w:r>
    </w:p>
    <w:p>
      <w:pPr>
        <w:spacing w:line="540" w:lineRule="exact"/>
        <w:ind w:firstLine="597" w:firstLineChars="199"/>
        <w:jc w:val="both"/>
        <w:rPr>
          <w:rFonts w:ascii="仿宋" w:hAnsi="仿宋" w:eastAsia="仿宋" w:cs="仿宋_GB2312"/>
          <w:bCs/>
          <w:color w:val="000000"/>
          <w:sz w:val="30"/>
          <w:szCs w:val="30"/>
        </w:rPr>
      </w:pPr>
      <w:r>
        <w:rPr>
          <w:rFonts w:hint="eastAsia" w:ascii="仿宋" w:hAnsi="仿宋" w:eastAsia="仿宋"/>
          <w:color w:val="000000"/>
          <w:sz w:val="30"/>
          <w:szCs w:val="30"/>
        </w:rPr>
        <w:t>(三)咨询电话：</w:t>
      </w:r>
      <w:r>
        <w:rPr>
          <w:rFonts w:hint="eastAsia" w:ascii="仿宋" w:hAnsi="仿宋" w:eastAsia="仿宋" w:cs="仿宋_GB2312"/>
          <w:bCs/>
          <w:color w:val="000000"/>
          <w:sz w:val="30"/>
          <w:szCs w:val="30"/>
        </w:rPr>
        <w:t>010-52262775   52262788</w:t>
      </w:r>
    </w:p>
    <w:p>
      <w:pPr>
        <w:spacing w:line="540" w:lineRule="exact"/>
        <w:ind w:firstLine="597" w:firstLineChars="199"/>
        <w:jc w:val="both"/>
        <w:rPr>
          <w:rFonts w:ascii="仿宋" w:hAnsi="仿宋" w:eastAsia="仿宋" w:cs="仿宋_GB2312"/>
          <w:bCs/>
          <w:color w:val="000000"/>
          <w:sz w:val="30"/>
          <w:szCs w:val="30"/>
        </w:rPr>
      </w:pPr>
      <w:r>
        <w:rPr>
          <w:rFonts w:hint="eastAsia" w:ascii="仿宋" w:hAnsi="仿宋" w:eastAsia="仿宋" w:cs="仿宋_GB2312"/>
          <w:bCs/>
          <w:color w:val="000000"/>
          <w:sz w:val="30"/>
          <w:szCs w:val="30"/>
        </w:rPr>
        <w:t>13699282832（微信同号）  88191815（中总协培训部）</w:t>
      </w:r>
    </w:p>
    <w:p>
      <w:pPr>
        <w:spacing w:line="540" w:lineRule="exact"/>
        <w:ind w:firstLine="597" w:firstLineChars="199"/>
        <w:jc w:val="both"/>
        <w:rPr>
          <w:rFonts w:ascii="仿宋" w:hAnsi="仿宋" w:eastAsia="仿宋" w:cs="仿宋_GB2312"/>
          <w:bCs/>
          <w:color w:val="000000"/>
          <w:sz w:val="30"/>
          <w:szCs w:val="30"/>
        </w:rPr>
      </w:pPr>
      <w:r>
        <w:rPr>
          <w:rFonts w:hint="eastAsia" w:ascii="仿宋" w:hAnsi="仿宋" w:eastAsia="仿宋" w:cs="仿宋_GB2312"/>
          <w:bCs/>
          <w:color w:val="000000"/>
          <w:sz w:val="30"/>
          <w:szCs w:val="30"/>
        </w:rPr>
        <w:t>报名邮箱：3039056115@qq.com</w:t>
      </w:r>
    </w:p>
    <w:p>
      <w:pPr>
        <w:ind w:firstLine="600" w:firstLineChars="200"/>
      </w:pPr>
      <w:bookmarkStart w:id="0" w:name="_GoBack"/>
      <w:bookmarkEnd w:id="0"/>
      <w:r>
        <w:rPr>
          <w:rFonts w:hint="eastAsia" w:ascii="仿宋" w:hAnsi="仿宋" w:eastAsia="仿宋" w:cs="仿宋_GB2312"/>
          <w:bCs/>
          <w:color w:val="000000"/>
          <w:sz w:val="30"/>
          <w:szCs w:val="30"/>
        </w:rPr>
        <w:t>联 系 人：徐黎明  周正  谢祥龙  桑立强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C1DFE"/>
    <w:rsid w:val="64FC1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2022-02-15T02:21:00Z</dcterms:created>
  <dc:creator>桑立强</dc:creator>
  <cp:lastModifiedBy>桑立强</cp:lastModifiedBy>
  <dcterms:modified xsi:type="dcterms:W3CDTF">2022-02-15T02:21:45Z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2FD296CA6CDE41A28529B6586C006788</vt:lpwstr>
  </property>
</Properties>
</file>