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2022银行账户管理及风险防范培训班工作方案</w:t>
      </w:r>
    </w:p>
    <w:p>
      <w:pPr>
        <w:spacing w:line="560" w:lineRule="exact"/>
        <w:ind w:firstLine="201" w:firstLineChars="200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>
      <w:pPr>
        <w:spacing w:line="56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主管主办单位：中国总会计师协会</w:t>
      </w:r>
    </w:p>
    <w:p>
      <w:pPr>
        <w:spacing w:line="560" w:lineRule="exact"/>
        <w:ind w:firstLine="602" w:firstLineChars="200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委托承办单位：北京</w:t>
      </w: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长训教育科技有限公司</w:t>
      </w:r>
    </w:p>
    <w:p>
      <w:pPr>
        <w:spacing w:line="56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</w:p>
    <w:p>
      <w:pPr>
        <w:spacing w:line="560" w:lineRule="exact"/>
        <w:ind w:left="400" w:leftChars="200" w:firstLine="151" w:firstLineChars="50"/>
        <w:jc w:val="both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一、培训时间、地点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第1期  2022年3月24日—27日（24日报到）   杭州市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第2期  2022年4月14日—17日（14日报到）   厦门市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第3期  2022年5月12日—15日（12日报到）   成都市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第4期  2022年6月9日—12日 （9日报到）    大连市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第5期  2022年9月15日—18日（15日报到）   桂林市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第6期  2022年10月20日—23日（20日报到）  苏州市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第7期  2022年11月10日—13日（10日报到）  厦门市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第8期  2022年12月8日—11日（8日报到）    三亚市</w:t>
      </w:r>
    </w:p>
    <w:p>
      <w:pPr>
        <w:spacing w:line="560" w:lineRule="exact"/>
        <w:ind w:firstLine="602" w:firstLineChars="200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二、培训师资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中国人民银行相关专家，国内外著名银行业金融机构中实战经验丰富的运营管理部负责人，知名财经高等院校权威专家与会，进行专题讲授，并举办经验交流和案例分享。</w:t>
      </w:r>
    </w:p>
    <w:p>
      <w:pPr>
        <w:spacing w:line="560" w:lineRule="exact"/>
        <w:ind w:firstLine="602" w:firstLineChars="200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三、培训对象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(一)监管机构支付结算处(科)负责人及业务骨干；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(二)商业银行、外资银行账户管理牵头部门(运营部、会计结算部等)、集中作业中心、渠道部、零售部、账务核算中心、法律合规部、信息科技部及相关业务部门分管领导及相关岗位人</w:t>
      </w:r>
    </w:p>
    <w:p>
      <w:pPr>
        <w:adjustRightInd w:val="0"/>
        <w:snapToGrid w:val="0"/>
        <w:spacing w:line="520" w:lineRule="exact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员;各分支行、网点领导;运营主管、账户管理人员、主管会计、</w:t>
      </w:r>
    </w:p>
    <w:p>
      <w:pPr>
        <w:adjustRightInd w:val="0"/>
        <w:snapToGrid w:val="0"/>
        <w:spacing w:line="520" w:lineRule="exact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信息科技人员、尽职调查人员、客户经理、监管经理、柜面人员</w:t>
      </w:r>
    </w:p>
    <w:p>
      <w:pPr>
        <w:adjustRightInd w:val="0"/>
        <w:snapToGrid w:val="0"/>
        <w:spacing w:line="520" w:lineRule="exact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及其他相关人员等；</w:t>
      </w:r>
    </w:p>
    <w:p>
      <w:pPr>
        <w:adjustRightInd w:val="0"/>
        <w:snapToGrid w:val="0"/>
        <w:spacing w:line="520" w:lineRule="exact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 xml:space="preserve">    (三) 财务公司、第三方支付、证券、保险、基金、信托、</w:t>
      </w:r>
    </w:p>
    <w:p>
      <w:pPr>
        <w:adjustRightInd w:val="0"/>
        <w:snapToGrid w:val="0"/>
        <w:spacing w:line="520" w:lineRule="exact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期货等相关公司管理人员及专业人员。</w:t>
      </w:r>
    </w:p>
    <w:p>
      <w:pPr>
        <w:spacing w:line="560" w:lineRule="exact"/>
        <w:ind w:firstLine="602" w:firstLineChars="200"/>
        <w:jc w:val="both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四、培训课程</w:t>
      </w:r>
    </w:p>
    <w:p>
      <w:pPr>
        <w:adjustRightInd w:val="0"/>
        <w:snapToGrid w:val="0"/>
        <w:spacing w:line="476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一：新阶段银行账户监管要求及风险防范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新阶段银行账户管理监管要求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新阶段银行账户风险防控形势</w:t>
      </w:r>
    </w:p>
    <w:p>
      <w:pPr>
        <w:adjustRightInd w:val="0"/>
        <w:snapToGrid w:val="0"/>
        <w:spacing w:line="480" w:lineRule="exact"/>
        <w:ind w:firstLine="600" w:firstLineChars="200"/>
        <w:jc w:val="both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新阶段银行账户管理问题及风险防范重点</w:t>
      </w:r>
    </w:p>
    <w:p>
      <w:pPr>
        <w:adjustRightInd w:val="0"/>
        <w:snapToGrid w:val="0"/>
        <w:spacing w:line="48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新型支付方式对银行账户管理影响及风险防范</w:t>
      </w:r>
    </w:p>
    <w:p>
      <w:pPr>
        <w:adjustRightInd w:val="0"/>
        <w:snapToGrid w:val="0"/>
        <w:spacing w:line="48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二：“断卡”行动反诈实务</w:t>
      </w:r>
    </w:p>
    <w:p>
      <w:pPr>
        <w:adjustRightInd w:val="0"/>
        <w:snapToGrid w:val="0"/>
        <w:spacing w:line="48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“断卡”行动的背景、现状、重点工作内容</w:t>
      </w:r>
    </w:p>
    <w:p>
      <w:pPr>
        <w:adjustRightInd w:val="0"/>
        <w:snapToGrid w:val="0"/>
        <w:spacing w:line="48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“断卡”行动相关要求解读</w:t>
      </w:r>
    </w:p>
    <w:p>
      <w:pPr>
        <w:adjustRightInd w:val="0"/>
        <w:snapToGrid w:val="0"/>
        <w:spacing w:line="48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“断卡”涉诈、涉赌典型案例分析</w:t>
      </w:r>
    </w:p>
    <w:p>
      <w:pPr>
        <w:adjustRightInd w:val="0"/>
        <w:snapToGrid w:val="0"/>
        <w:spacing w:line="48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涉案账户特点分析、涉案账户交易流水分析</w:t>
      </w:r>
    </w:p>
    <w:p>
      <w:pPr>
        <w:adjustRightInd w:val="0"/>
        <w:snapToGrid w:val="0"/>
        <w:spacing w:line="48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三：人民币银行结算账户全流程风险管控实务</w:t>
      </w:r>
    </w:p>
    <w:p>
      <w:pPr>
        <w:adjustRightInd w:val="0"/>
        <w:snapToGrid w:val="0"/>
        <w:spacing w:line="48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事前事中事后全流程风险管控要点分析</w:t>
      </w:r>
    </w:p>
    <w:p>
      <w:pPr>
        <w:adjustRightInd w:val="0"/>
        <w:snapToGrid w:val="0"/>
        <w:spacing w:line="48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银行结算账户的开立</w:t>
      </w:r>
    </w:p>
    <w:p>
      <w:pPr>
        <w:adjustRightInd w:val="0"/>
        <w:snapToGrid w:val="0"/>
        <w:spacing w:line="480" w:lineRule="exact"/>
        <w:ind w:firstLine="600" w:firstLineChars="200"/>
        <w:jc w:val="both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银行结算账户的变更及撤销</w:t>
      </w:r>
    </w:p>
    <w:p>
      <w:pPr>
        <w:adjustRightInd w:val="0"/>
        <w:snapToGrid w:val="0"/>
        <w:spacing w:line="480" w:lineRule="exact"/>
        <w:ind w:firstLine="600" w:firstLineChars="200"/>
        <w:jc w:val="both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银行结算账户的管理</w:t>
      </w:r>
    </w:p>
    <w:p>
      <w:pPr>
        <w:adjustRightInd w:val="0"/>
        <w:snapToGrid w:val="0"/>
        <w:spacing w:line="48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规范对伪造变造开户证明文件的处理</w:t>
      </w:r>
    </w:p>
    <w:p>
      <w:pPr>
        <w:adjustRightInd w:val="0"/>
        <w:snapToGrid w:val="0"/>
        <w:spacing w:line="48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四：单位银行账户风险管控实务</w:t>
      </w:r>
    </w:p>
    <w:p>
      <w:pPr>
        <w:adjustRightInd w:val="0"/>
        <w:snapToGrid w:val="0"/>
        <w:spacing w:line="48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单位银行账户面临的主要风险类别和特征梳理</w:t>
      </w:r>
    </w:p>
    <w:p>
      <w:pPr>
        <w:adjustRightInd w:val="0"/>
        <w:snapToGrid w:val="0"/>
        <w:spacing w:line="480" w:lineRule="exact"/>
        <w:ind w:firstLine="600" w:firstLineChars="200"/>
        <w:jc w:val="both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单位银行账户风险主要成因分析</w:t>
      </w:r>
    </w:p>
    <w:p>
      <w:pPr>
        <w:adjustRightInd w:val="0"/>
        <w:snapToGrid w:val="0"/>
        <w:spacing w:line="48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单位银行账户管理措施建议</w:t>
      </w:r>
    </w:p>
    <w:p>
      <w:pPr>
        <w:adjustRightInd w:val="0"/>
        <w:snapToGrid w:val="0"/>
        <w:spacing w:line="480" w:lineRule="exact"/>
        <w:ind w:firstLine="600" w:firstLineChars="200"/>
        <w:jc w:val="both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单位银行账户开立、交易管控、异常监测等环节风险管理</w:t>
      </w:r>
    </w:p>
    <w:p>
      <w:pPr>
        <w:adjustRightInd w:val="0"/>
        <w:snapToGrid w:val="0"/>
        <w:spacing w:line="480" w:lineRule="exact"/>
        <w:ind w:firstLine="600" w:firstLineChars="200"/>
        <w:jc w:val="both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单位银行账户涉案案例警示</w:t>
      </w:r>
    </w:p>
    <w:p>
      <w:pPr>
        <w:adjustRightInd w:val="0"/>
        <w:snapToGrid w:val="0"/>
        <w:spacing w:line="48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 xml:space="preserve">五：个人银行账户风险管控实务 </w:t>
      </w:r>
    </w:p>
    <w:p>
      <w:pPr>
        <w:adjustRightInd w:val="0"/>
        <w:snapToGrid w:val="0"/>
        <w:spacing w:line="48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人民银行关于个人银行账户开户、资金转入转出及限额等管理要求</w:t>
      </w:r>
    </w:p>
    <w:p>
      <w:pPr>
        <w:adjustRightInd w:val="0"/>
        <w:snapToGrid w:val="0"/>
        <w:spacing w:line="48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个人银行账户风险表现及案例分析</w:t>
      </w:r>
    </w:p>
    <w:p>
      <w:pPr>
        <w:adjustRightInd w:val="0"/>
        <w:snapToGrid w:val="0"/>
        <w:spacing w:line="48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个人银行账户风险管控难点</w:t>
      </w:r>
    </w:p>
    <w:p>
      <w:pPr>
        <w:adjustRightInd w:val="0"/>
        <w:snapToGrid w:val="0"/>
        <w:spacing w:line="48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个人银行账户风险管控建议</w:t>
      </w:r>
    </w:p>
    <w:p>
      <w:pPr>
        <w:adjustRightInd w:val="0"/>
        <w:snapToGrid w:val="0"/>
        <w:spacing w:line="480" w:lineRule="exact"/>
        <w:ind w:firstLine="600" w:firstLineChars="200"/>
        <w:jc w:val="both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个人银行账户开立、交易管控、异常监测等环节风险管理</w:t>
      </w:r>
    </w:p>
    <w:p>
      <w:pPr>
        <w:adjustRightInd w:val="0"/>
        <w:snapToGrid w:val="0"/>
        <w:spacing w:line="48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个人银行账户涉案案例警示</w:t>
      </w:r>
    </w:p>
    <w:p>
      <w:pPr>
        <w:adjustRightInd w:val="0"/>
        <w:snapToGrid w:val="0"/>
        <w:spacing w:line="48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专题六：银行账户涉赌涉诈风险防控实务</w:t>
      </w:r>
    </w:p>
    <w:p>
      <w:pPr>
        <w:adjustRightInd w:val="0"/>
        <w:snapToGrid w:val="0"/>
        <w:spacing w:line="48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涉赌涉诈可疑资金特征及账户线索核查</w:t>
      </w:r>
    </w:p>
    <w:p>
      <w:pPr>
        <w:adjustRightInd w:val="0"/>
        <w:snapToGrid w:val="0"/>
        <w:spacing w:line="48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电信诈骗、跨境赌博等黑灰产业账户风险</w:t>
      </w:r>
    </w:p>
    <w:p>
      <w:pPr>
        <w:adjustRightInd w:val="0"/>
        <w:snapToGrid w:val="0"/>
        <w:spacing w:line="48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反电诈、反跨境赌博等涉案案例警示</w:t>
      </w:r>
    </w:p>
    <w:p>
      <w:pPr>
        <w:spacing w:line="600" w:lineRule="exact"/>
        <w:ind w:left="400" w:leftChars="200" w:firstLine="151" w:firstLineChars="50"/>
        <w:jc w:val="both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五、培训证书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培训班学习期满，颁发中国总会计师协会《培训结业证书》。  </w:t>
      </w:r>
    </w:p>
    <w:p>
      <w:pPr>
        <w:spacing w:line="560" w:lineRule="exact"/>
        <w:ind w:firstLine="602" w:firstLineChars="200"/>
        <w:rPr>
          <w:rFonts w:ascii="仿宋" w:hAnsi="仿宋" w:eastAsia="仿宋" w:cs="仿宋_GB2312"/>
          <w:b/>
          <w:kern w:val="2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六、</w:t>
      </w:r>
      <w:r>
        <w:rPr>
          <w:rFonts w:hint="eastAsia" w:ascii="仿宋" w:hAnsi="仿宋" w:eastAsia="仿宋" w:cs="仿宋_GB2312"/>
          <w:b/>
          <w:sz w:val="30"/>
          <w:szCs w:val="30"/>
        </w:rPr>
        <w:t>收费标准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培训费2980元/人；食宿统一安排，费用自理；往返交通及费用由参会单位或个人自行办理。报名人员可在培训班开始前一周将费用汇至委托承办单位账户，并将银行汇款凭证发邮件至会务组，以便开具增值税专用发票。收款单位户名：北京长训教育科技有限公司；开户银行：中国工商银行股份有限公司北京科技园支行；账号：0200 2964 0920 0239 547。培训班也接受现场缴费。</w:t>
      </w:r>
    </w:p>
    <w:p>
      <w:pPr>
        <w:spacing w:line="560" w:lineRule="exact"/>
        <w:ind w:firstLine="599" w:firstLineChars="199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七、报名及联系方式</w:t>
      </w:r>
    </w:p>
    <w:p>
      <w:pPr>
        <w:spacing w:line="56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(一)培训班相关信息和报名表格请见中国总会计师协会网站（http://www.cacfo.com/）培训工作专栏；</w:t>
      </w:r>
    </w:p>
    <w:p>
      <w:pPr>
        <w:spacing w:line="56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(二) 参训学员填写报名回执, 加盖公章，务必于培训班开始前一周发邮件至会务组。收到回执后,会务组将回信确认报名成功。</w:t>
      </w:r>
    </w:p>
    <w:p>
      <w:pPr>
        <w:spacing w:line="560" w:lineRule="exact"/>
        <w:ind w:firstLine="597" w:firstLineChars="199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(三)咨询电话：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010-52262775   52262788</w:t>
      </w:r>
    </w:p>
    <w:p>
      <w:pPr>
        <w:spacing w:line="560" w:lineRule="exact"/>
        <w:ind w:firstLine="597" w:firstLineChars="199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13699282832（微信同号）  88191815（中总协培训部）</w:t>
      </w:r>
    </w:p>
    <w:p>
      <w:pPr>
        <w:spacing w:line="560" w:lineRule="exact"/>
        <w:ind w:firstLine="597" w:firstLineChars="199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报名邮箱：3039056115@qq.com</w:t>
      </w:r>
    </w:p>
    <w:p>
      <w:pPr>
        <w:spacing w:line="560" w:lineRule="exact"/>
        <w:ind w:firstLine="600" w:firstLineChars="200"/>
        <w:rPr>
          <w:rFonts w:hint="default" w:ascii="仿宋" w:hAnsi="仿宋" w:eastAsia="仿宋" w:cs="仿宋_GB2312"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联 系 人：徐黎明  周正  谢祥龙  桑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  <w:lang w:val="en-US" w:eastAsia="zh-CN"/>
        </w:rPr>
        <w:t>立强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803A5"/>
    <w:rsid w:val="03C8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2022-02-15T01:42:00Z</dcterms:created>
  <dc:creator>桑立强</dc:creator>
  <cp:lastModifiedBy>桑立强</cp:lastModifiedBy>
  <dcterms:modified xsi:type="dcterms:W3CDTF">2022-02-15T01:58:36Z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0918F909B6BF4A5B960EDC7A5D392185</vt:lpwstr>
  </property>
</Properties>
</file>