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偿二代二期下保险公司风险管理能力提升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专题培训班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工作方案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6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时间：第1期  2022年4月14日—17日（14日报到</w:t>
      </w:r>
      <w:r>
        <w:rPr>
          <w:rFonts w:ascii="仿宋" w:hAnsi="仿宋" w:eastAsia="仿宋" w:cs="仿宋_GB2312"/>
          <w:color w:val="000000"/>
          <w:sz w:val="30"/>
          <w:szCs w:val="30"/>
        </w:rPr>
        <w:t>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时间：第2期  2022年6月17日—20日（17日报到）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地点：北京市+网络直播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时间：第3期  2022年10月14日—17日（14日报到）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时间：第4期  2022年12月9日—12日（9日报到）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地点：北京市+网络直播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国内外著名保险公司、知名财经高等院校、四大会计师事务所实务专家与会，进行专题讲授，突出权威性和实效性。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三、参训对象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(一)各保险公司高管，风险管理、财务、审计、投资、精算、内控合规、信息技术、产品开发等部门负责人及业务骨干；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(二)教育科研单位专家、学者；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(三)行业组织相关业务负责人。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一：偿二代二期整体解读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偿二代二期工程建设背景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MS Gothic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偿二代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二期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>监管的目的和原则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偿二代二期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整体框架内容解读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二：第一支柱主要变化与风控应对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实际资本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最低资本（保险风险、穿透和集中度、市场风险、信用风险）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第一支柱对保险业的影响与最佳风控应对策略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三：第二支柱主要变化与风控应对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IRR解读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SARMRA解读（</w:t>
      </w:r>
      <w:r>
        <w:rPr>
          <w:rFonts w:ascii="仿宋" w:hAnsi="仿宋" w:eastAsia="仿宋" w:cs="仿宋_GB2312"/>
          <w:color w:val="000000"/>
          <w:sz w:val="30"/>
          <w:szCs w:val="30"/>
        </w:rPr>
        <w:t>评估机制、基础与环境、目标与工具、七大类风险管理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第二支柱对保险业的影响与最佳风控应对策略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四：第三支柱主要变化与风控应对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公开信息披露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偿付能力报告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第三支柱对保险业的影响与最佳风控应对策略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五：偿二代二期新监管规则与风控应对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第 7 号：市场风险和信用风险的穿透计量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第14号：资本规划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第20号：劳合社(中国)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新监管规则对保险业的影响与最佳风控应对策略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专题六：偿二代二期下全面风险管理创新</w:t>
      </w:r>
    </w:p>
    <w:p>
      <w:pPr>
        <w:spacing w:line="560" w:lineRule="exact"/>
        <w:ind w:firstLine="600" w:firstLineChars="200"/>
        <w:rPr>
          <w:rFonts w:ascii="仿宋" w:hAnsi="仿宋" w:eastAsia="仿宋" w:cs="MS Gothic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以资本为核心的全面风险管理</w:t>
      </w:r>
    </w:p>
    <w:p>
      <w:pPr>
        <w:spacing w:line="560" w:lineRule="exact"/>
        <w:ind w:firstLine="600" w:firstLineChars="200"/>
        <w:rPr>
          <w:rFonts w:ascii="仿宋" w:hAnsi="仿宋" w:eastAsia="仿宋" w:cs="MS Gothic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全面风险管理组织架构与内控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风险管理决策与流程优化</w:t>
      </w:r>
    </w:p>
    <w:p>
      <w:pPr>
        <w:spacing w:line="560" w:lineRule="exact"/>
        <w:ind w:firstLine="600" w:firstLineChars="200"/>
        <w:rPr>
          <w:rFonts w:ascii="仿宋" w:hAnsi="仿宋" w:eastAsia="仿宋" w:cs="MS Gothic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风险偏好体系建设</w:t>
      </w:r>
    </w:p>
    <w:p>
      <w:pPr>
        <w:spacing w:line="560" w:lineRule="exact"/>
        <w:ind w:firstLine="600" w:firstLineChars="200"/>
        <w:rPr>
          <w:rFonts w:ascii="仿宋" w:hAnsi="仿宋" w:eastAsia="仿宋" w:cs="MS Gothic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风险管理信息系统建设</w:t>
      </w:r>
    </w:p>
    <w:p>
      <w:pPr>
        <w:spacing w:line="560" w:lineRule="exact"/>
        <w:ind w:firstLine="600" w:firstLineChars="200"/>
        <w:rPr>
          <w:rFonts w:ascii="仿宋" w:hAnsi="仿宋" w:eastAsia="仿宋" w:cs="MS Gothic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压力测试</w:t>
      </w:r>
    </w:p>
    <w:p>
      <w:pPr>
        <w:spacing w:line="600" w:lineRule="exact"/>
        <w:ind w:left="400" w:leftChars="200" w:firstLine="151" w:firstLineChars="5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60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6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13699282832（微信同号）  88191815（中总协培训部）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报名邮箱：</w:t>
      </w:r>
      <w:r>
        <w:fldChar w:fldCharType="begin"/>
      </w:r>
      <w:r>
        <w:instrText xml:space="preserve"> HYPERLINK "mailto:3039056115@qq.com" </w:instrText>
      </w:r>
      <w:r>
        <w:fldChar w:fldCharType="separate"/>
      </w:r>
      <w:r>
        <w:rPr>
          <w:rStyle w:val="4"/>
          <w:rFonts w:hint="eastAsia" w:ascii="仿宋" w:hAnsi="仿宋" w:eastAsia="仿宋" w:cs="仿宋_GB2312"/>
          <w:bCs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3039056115@qq.com</w:t>
      </w:r>
      <w:r>
        <w:rPr>
          <w:rStyle w:val="4"/>
          <w:rFonts w:hint="eastAsia" w:ascii="仿宋" w:hAnsi="仿宋" w:eastAsia="仿宋" w:cs="仿宋_GB2312"/>
          <w:bCs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074CF"/>
    <w:rsid w:val="5EF0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2022-02-15T00:41:00Z</dcterms:created>
  <dc:creator>桑立强</dc:creator>
  <cp:lastModifiedBy>桑立强</cp:lastModifiedBy>
  <dcterms:modified xsi:type="dcterms:W3CDTF">2022-02-15T00:42:01Z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5155957B6139494CA416AEAB46FF6195</vt:lpwstr>
  </property>
</Properties>
</file>