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附件1：</w:t>
      </w:r>
    </w:p>
    <w:p>
      <w:pPr>
        <w:wordWrap w:val="0"/>
        <w:snapToGrid w:val="0"/>
        <w:spacing w:before="220" w:after="220" w:line="500" w:lineRule="exact"/>
        <w:ind w:right="640"/>
        <w:jc w:val="center"/>
        <w:rPr>
          <w:rFonts w:ascii="宋体" w:hAnsi="宋体" w:cs="宋体"/>
          <w:b/>
          <w:color w:val="auto"/>
          <w:spacing w:val="-2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auto"/>
          <w:spacing w:val="-20"/>
          <w:kern w:val="0"/>
          <w:sz w:val="30"/>
          <w:szCs w:val="30"/>
        </w:rPr>
        <w:t>新时代行政事业单位财务与管理人员专业能力提升培训班工作方案</w:t>
      </w:r>
    </w:p>
    <w:p>
      <w:pPr>
        <w:widowControl/>
        <w:spacing w:line="480" w:lineRule="exact"/>
        <w:jc w:val="lef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主管主办单位：中国总会计师协会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委托承办单位：北京华夏星源国际文化传播有限公司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培训时间安排</w:t>
      </w:r>
    </w:p>
    <w:tbl>
      <w:tblPr>
        <w:tblStyle w:val="4"/>
        <w:tblW w:w="92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940"/>
        <w:gridCol w:w="2520"/>
        <w:gridCol w:w="2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  <w:t>培训时间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  <w:t>培训地点</w:t>
            </w:r>
          </w:p>
        </w:tc>
        <w:tc>
          <w:tcPr>
            <w:tcW w:w="20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</w:rPr>
              <w:t>培训专题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2月22-26日（22日报到）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海南·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三亚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3月1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广东·深圳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7-11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7日报到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四川·成都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11-15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桂林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15-19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15日报到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海南·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三亚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专题一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21-25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重庆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四、六、七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6-10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浙江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·杭州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一、八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11-15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11日报到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西藏·林芝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16-20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16日报到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四川·成都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、七、八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20-24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20日报到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上海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六、九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25-29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25日报到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福建·厦门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六、十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4-8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4日报到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四川·成都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二、八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9-13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9日报到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福建·厦门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、七、八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13-17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</w:rPr>
              <w:t>日报到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山东·青岛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专题二、八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云南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昆明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上海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专题四、六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甘肃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兰州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山东·青岛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六、十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四川·成都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专题一、八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18-22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陕西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西安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21-25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贵州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贵阳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4-8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青海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西宁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四、六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16-20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吉林·延吉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19-23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西藏·拉萨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23-27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内蒙古·呼伦贝尔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26-30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山东·青岛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6-10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内蒙古·呼伦贝尔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9-13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黑龙江·哈尔滨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专题一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13-17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云南·大理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16-20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贵州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贵阳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20-24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西藏·拉萨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5-9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四川·成都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一、九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13-17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浙江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·杭州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三、七、八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13-17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山东·青岛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六、十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20-24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湖南·长沙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海南·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三亚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福建·厦门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四川·成都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二、七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上海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专题四、六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40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山西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太原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三、八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41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广东·广州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专题一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42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安徽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合肥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43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桂林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44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海南·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三亚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45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重庆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46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云南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昆明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专题一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47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12月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海南·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三亚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48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12月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·南宁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二、八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8"/>
                <w:sz w:val="24"/>
                <w:lang w:val="en-US" w:eastAsia="zh-CN"/>
              </w:rPr>
              <w:t>49</w:t>
            </w:r>
          </w:p>
        </w:tc>
        <w:tc>
          <w:tcPr>
            <w:tcW w:w="39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12月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日（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广东·深圳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8"/>
                <w:sz w:val="24"/>
                <w:lang w:eastAsia="zh-CN"/>
              </w:rPr>
              <w:t>六</w:t>
            </w:r>
          </w:p>
        </w:tc>
      </w:tr>
    </w:tbl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培训专题安排</w:t>
      </w:r>
    </w:p>
    <w:p>
      <w:pPr>
        <w:widowControl/>
        <w:spacing w:line="360" w:lineRule="auto"/>
        <w:ind w:left="1400" w:hanging="1400" w:hangingChars="500"/>
        <w:jc w:val="left"/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专题一: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  <w:t xml:space="preserve"> 新预算法实施条例下行政事业单位全面实施预算绩效管理</w:t>
      </w:r>
    </w:p>
    <w:p>
      <w:pPr>
        <w:widowControl/>
        <w:spacing w:line="360" w:lineRule="auto"/>
        <w:ind w:left="1472" w:leftChars="560" w:hanging="296" w:hangingChars="100"/>
        <w:jc w:val="left"/>
        <w:rPr>
          <w:rFonts w:asciiTheme="minorEastAsia" w:hAnsiTheme="minorEastAsia" w:eastAsiaTheme="minorEastAsia" w:cstheme="minorEastAsia"/>
          <w:b/>
          <w:bCs/>
          <w:color w:val="auto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  <w:t>与绩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  <w:lang w:eastAsia="zh-CN"/>
        </w:rPr>
        <w:t>效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  <w:t>评价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  <w:t>专题二：全面推进预算管理一体化建设与实施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  <w:t>专题三：政府会计准则（制度）热点难点问题实操案例解析</w:t>
      </w:r>
    </w:p>
    <w:p>
      <w:pPr>
        <w:widowControl/>
        <w:spacing w:line="360" w:lineRule="auto"/>
        <w:ind w:left="1184" w:hanging="1184" w:hangingChars="400"/>
        <w:jc w:val="left"/>
        <w:rPr>
          <w:rFonts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sz w:val="28"/>
          <w:szCs w:val="28"/>
        </w:rPr>
        <w:t>专题四：行政事业单位内部控制与运行评价、内部控制报告编报</w:t>
      </w:r>
    </w:p>
    <w:p>
      <w:pPr>
        <w:pStyle w:val="3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  <w:t>专题五：行政事业单位财务人员专业能力提升</w:t>
      </w:r>
    </w:p>
    <w:p>
      <w:pPr>
        <w:pStyle w:val="3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  <w:t>专题六：行政事业单位经济责任审计</w:t>
      </w:r>
    </w:p>
    <w:p>
      <w:pPr>
        <w:pStyle w:val="3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  <w:t>专题七：行政事业单位资产管理</w:t>
      </w:r>
    </w:p>
    <w:p>
      <w:pPr>
        <w:pStyle w:val="3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  <w:t>专题八：政府财务报告编制与分析</w:t>
      </w:r>
    </w:p>
    <w:p>
      <w:pPr>
        <w:pStyle w:val="3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  <w:t>专题九：财务人员法律素质提升与《民法典》权威解读</w:t>
      </w:r>
    </w:p>
    <w:p>
      <w:pPr>
        <w:pStyle w:val="3"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pacing w:val="8"/>
          <w:kern w:val="1"/>
          <w:sz w:val="28"/>
          <w:szCs w:val="28"/>
        </w:rPr>
        <w:t>专题十：政府采购操作规程与风险防范</w:t>
      </w:r>
    </w:p>
    <w:p>
      <w:pPr>
        <w:pStyle w:val="6"/>
        <w:widowControl/>
        <w:spacing w:before="156" w:beforeLines="50" w:after="156" w:afterLines="50" w:line="440" w:lineRule="exact"/>
        <w:ind w:right="-334" w:firstLine="0" w:firstLineChars="0"/>
        <w:rPr>
          <w:rFonts w:cs="宋体" w:asciiTheme="minorEastAsia" w:hAnsiTheme="minorEastAsia" w:eastAsiaTheme="minorEastAsia"/>
          <w:b/>
          <w:bCs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kern w:val="0"/>
          <w:sz w:val="28"/>
          <w:szCs w:val="28"/>
        </w:rPr>
        <w:t>三、课程适合对象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</w:rPr>
        <w:t>各地财政局预算处（科）,绩效管理处（科）、会计处（科）、资产处、经济建设处（科）、财政投资评价中心和相关工作人员等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auto"/>
          <w:kern w:val="0"/>
          <w:sz w:val="28"/>
          <w:szCs w:val="28"/>
        </w:rPr>
        <w:t>各级政府机关、行政事业单位及所属单位领导、部门负责人及相关管理人员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</w:rPr>
        <w:t>各级政府及行政事业单位总会计师、财务主管、财会骨干、审计处（科）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行政事业单位资产管理部门负责人和经办人员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行政事业单位基建部门负责人和经办人员</w:t>
      </w:r>
      <w:r>
        <w:rPr>
          <w:rFonts w:hint="eastAsia" w:cs="宋体" w:asciiTheme="minorEastAsia" w:hAnsiTheme="minorEastAsia" w:eastAsiaTheme="minorEastAsia"/>
          <w:color w:val="auto"/>
          <w:sz w:val="28"/>
          <w:szCs w:val="28"/>
        </w:rPr>
        <w:t>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ind w:firstLine="0" w:firstLineChars="0"/>
        <w:textAlignment w:val="auto"/>
        <w:rPr>
          <w:rFonts w:cs="宋体" w:asciiTheme="minorEastAsia" w:hAnsiTheme="minorEastAsia" w:eastAsiaTheme="minorEastAsia"/>
          <w:b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kern w:val="0"/>
          <w:sz w:val="28"/>
          <w:szCs w:val="28"/>
        </w:rPr>
        <w:t>四、授课师资团队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34" w:firstLine="592" w:firstLineChars="200"/>
        <w:textAlignment w:val="auto"/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color w:val="auto"/>
          <w:spacing w:val="8"/>
          <w:sz w:val="28"/>
          <w:szCs w:val="28"/>
        </w:rPr>
        <w:t>所有课程</w:t>
      </w: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由来自政府部门、高校以及实务届的专业师资团队授课。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334" w:firstLine="560" w:firstLineChars="200"/>
        <w:textAlignment w:val="auto"/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kern w:val="0"/>
          <w:sz w:val="28"/>
          <w:szCs w:val="28"/>
        </w:rPr>
        <w:t>五、收费标准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1、每人收费2900元（含培训费、场地费、结业证书等费用）；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cs="宋体" w:asciiTheme="minorEastAsia" w:hAnsiTheme="minorEastAsia" w:eastAsiaTheme="minorEastAsia"/>
          <w:bCs/>
          <w:color w:val="auto"/>
          <w:spacing w:val="2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3、往返交通等费用自理</w:t>
      </w:r>
      <w:r>
        <w:rPr>
          <w:rFonts w:hint="eastAsia" w:cs="宋体" w:asciiTheme="minorEastAsia" w:hAnsiTheme="minorEastAsia" w:eastAsiaTheme="minorEastAsia"/>
          <w:bCs/>
          <w:color w:val="auto"/>
          <w:spacing w:val="20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kern w:val="0"/>
          <w:sz w:val="28"/>
          <w:szCs w:val="28"/>
        </w:rPr>
        <w:t>六、结业证书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cs="宋体" w:asciiTheme="minorEastAsia" w:hAnsiTheme="minorEastAsia" w:eastAsiaTheme="minorEastAsia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480" w:lineRule="exact"/>
        <w:textAlignment w:val="auto"/>
        <w:rPr>
          <w:rFonts w:asciiTheme="minorEastAsia" w:hAnsiTheme="minorEastAsia" w:eastAsia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  <w:shd w:val="clear" w:color="auto" w:fill="FFFFFF"/>
        </w:rPr>
        <w:t>七、</w:t>
      </w:r>
      <w:r>
        <w:rPr>
          <w:rFonts w:hint="eastAsia" w:asciiTheme="minorEastAsia" w:hAnsiTheme="minorEastAsia" w:eastAsiaTheme="minorEastAsia"/>
          <w:b/>
          <w:bCs/>
          <w:color w:val="auto"/>
          <w:sz w:val="28"/>
          <w:szCs w:val="28"/>
        </w:rPr>
        <w:t>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cs="宋体" w:asciiTheme="minorEastAsia" w:hAnsiTheme="minorEastAsia" w:eastAsiaTheme="minorEastAsia"/>
          <w:color w:val="auto"/>
          <w:kern w:val="28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"http://www.cacfo.com" </w:instrText>
      </w:r>
      <w:r>
        <w:rPr>
          <w:color w:val="auto"/>
        </w:rPr>
        <w:fldChar w:fldCharType="separate"/>
      </w: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www.cacfo.com</w:t>
      </w: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fldChar w:fldCharType="end"/>
      </w: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cs="宋体" w:asciiTheme="minorEastAsia" w:hAnsiTheme="minorEastAsia" w:eastAsiaTheme="minorEastAsia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sz w:val="28"/>
          <w:szCs w:val="28"/>
          <w:shd w:val="clear" w:color="auto" w:fill="FFFFFF"/>
        </w:rPr>
        <w:t>报名电话：010-85913279  传真：010-85913278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报名咨询：中国总会计师协会培训部  桑立强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监督电话：010-881918</w:t>
      </w: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cs="宋体" w:asciiTheme="minorEastAsia" w:hAnsiTheme="minorEastAsia" w:eastAsiaTheme="minorEastAsia"/>
          <w:color w:val="auto"/>
          <w:sz w:val="28"/>
          <w:szCs w:val="28"/>
          <w:shd w:val="clear" w:color="auto" w:fill="FFFFFF"/>
        </w:rPr>
        <w:t>、88191866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EF26D"/>
    <w:multiLevelType w:val="singleLevel"/>
    <w:tmpl w:val="CF9EF2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453E"/>
    <w:rsid w:val="780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right"/>
    </w:pPr>
    <w:rPr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列出段落1"/>
    <w:basedOn w:val="7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7">
    <w:name w:val="Header1"/>
    <w:basedOn w:val="8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</w:pPr>
  </w:style>
  <w:style w:type="paragraph" w:customStyle="1" w:styleId="8">
    <w:name w:val="Footer1"/>
    <w:basedOn w:val="2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2022-02-15T08:15:00Z</dcterms:created>
  <dc:creator>桑立强</dc:creator>
  <cp:lastModifiedBy>桑立强</cp:lastModifiedBy>
  <dcterms:modified xsi:type="dcterms:W3CDTF">2022-02-15T08:16:19Z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D8EEB83533A24C59B33DCAA055C9E47D</vt:lpwstr>
  </property>
</Properties>
</file>