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00" w:after="100" w:line="500" w:lineRule="exact"/>
        <w:rPr>
          <w:rFonts w:ascii="宋体" w:hAnsi="宋体" w:cs="宋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bCs/>
          <w:spacing w:val="8"/>
          <w:kern w:val="1"/>
          <w:sz w:val="28"/>
          <w:szCs w:val="28"/>
        </w:rPr>
        <w:t>附件1</w:t>
      </w:r>
      <w:r>
        <w:rPr>
          <w:rFonts w:hint="eastAsia" w:ascii="宋体" w:hAnsi="宋体" w:cs="宋体"/>
          <w:bCs/>
          <w:spacing w:val="8"/>
          <w:kern w:val="1"/>
          <w:sz w:val="28"/>
          <w:szCs w:val="28"/>
        </w:rPr>
        <w:t>：</w:t>
      </w:r>
      <w:r>
        <w:rPr>
          <w:rFonts w:hint="eastAsia" w:ascii="宋体" w:hAnsi="宋体" w:cs="宋体"/>
          <w:b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snapToGrid w:val="0"/>
        <w:spacing w:before="100" w:after="100" w:line="500" w:lineRule="exact"/>
        <w:ind w:firstLine="563" w:firstLineChars="200"/>
        <w:rPr>
          <w:rFonts w:ascii="黑体" w:hAnsi="黑体" w:eastAsia="黑体" w:cs="宋体"/>
          <w:b/>
          <w:color w:val="000000"/>
          <w:spacing w:val="-20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color w:val="000000"/>
          <w:spacing w:val="-20"/>
          <w:kern w:val="0"/>
          <w:sz w:val="32"/>
          <w:szCs w:val="32"/>
        </w:rPr>
        <w:t>新时代财务管理人员实务操作与素质提升系列培训班工作方案</w:t>
      </w:r>
    </w:p>
    <w:p>
      <w:pPr>
        <w:widowControl/>
        <w:spacing w:line="500" w:lineRule="exact"/>
        <w:jc w:val="left"/>
        <w:rPr>
          <w:rFonts w:ascii="仿宋_GB2312" w:hAnsi="宋体" w:eastAsia="仿宋_GB2312" w:cs="宋体"/>
          <w:bCs/>
          <w:spacing w:val="8"/>
          <w:sz w:val="28"/>
          <w:szCs w:val="28"/>
        </w:rPr>
      </w:pPr>
      <w:r>
        <w:rPr>
          <w:rFonts w:hint="eastAsia" w:ascii="仿宋_GB2312" w:hAnsi="宋体" w:eastAsia="仿宋_GB2312" w:cs="宋体"/>
          <w:bCs/>
          <w:spacing w:val="8"/>
          <w:sz w:val="28"/>
          <w:szCs w:val="28"/>
        </w:rPr>
        <w:t>主管主办单位：中国总会计师协会</w:t>
      </w:r>
    </w:p>
    <w:p>
      <w:pPr>
        <w:widowControl/>
        <w:spacing w:line="500" w:lineRule="exact"/>
        <w:jc w:val="left"/>
        <w:rPr>
          <w:rFonts w:ascii="仿宋_GB2312" w:hAnsi="宋体" w:eastAsia="仿宋_GB2312" w:cs="宋体"/>
          <w:bCs/>
          <w:spacing w:val="8"/>
          <w:sz w:val="28"/>
          <w:szCs w:val="28"/>
        </w:rPr>
      </w:pPr>
      <w:r>
        <w:rPr>
          <w:rFonts w:hint="eastAsia" w:ascii="仿宋_GB2312" w:hAnsi="宋体" w:eastAsia="仿宋_GB2312" w:cs="宋体"/>
          <w:bCs/>
          <w:spacing w:val="8"/>
          <w:sz w:val="28"/>
          <w:szCs w:val="28"/>
        </w:rPr>
        <w:t>委托承办单位：北京华夏星源国际文化传播有限公司</w:t>
      </w:r>
    </w:p>
    <w:p>
      <w:pPr>
        <w:widowControl/>
        <w:numPr>
          <w:ilvl w:val="0"/>
          <w:numId w:val="1"/>
        </w:numPr>
        <w:spacing w:before="312" w:beforeLines="100" w:line="360" w:lineRule="auto"/>
        <w:jc w:val="left"/>
        <w:rPr>
          <w:rFonts w:ascii="仿宋_GB2312" w:hAnsi="宋体" w:eastAsia="仿宋_GB2312" w:cs="宋体"/>
          <w:b/>
          <w:bCs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</w:rPr>
        <w:t>培训时间安排</w:t>
      </w:r>
    </w:p>
    <w:tbl>
      <w:tblPr>
        <w:tblStyle w:val="3"/>
        <w:tblW w:w="874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3267"/>
        <w:gridCol w:w="2400"/>
        <w:gridCol w:w="2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培训时间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培训地点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培训专题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3月11-15日（11日报到）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广东·深圳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专题二、十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3月21-25日（21日报到）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专题六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4月12-16日（12日报到）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四川·成都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专题四、五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4月19-23日（19日报到）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福建·厦门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专题一、十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5月17-21日（17日报到）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山东·青岛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专题八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5月20-24日（20日报到）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专题二、三、九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6月18-22日（18日报到）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四川·成都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专题五、七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6月24-28日（24日报到）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贵州·贵阳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专题四、五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7月8-12日（8日报到）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青海·西宁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专题三、十一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7月12-16日（12日报到）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山东·青岛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专题一、五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8月9-13日（9日报到）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云南·昆明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专题三、十一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8月16-20日（16日报到）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西藏·拉萨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专题二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9月13-17日（13日报到）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四川·成都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专题五、九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9月19-23日（19日报到）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福建·厦门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专题六、十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10月19-23日（19日报到）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广西·桂林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专题二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10月11-15日（11日报到）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11月8-12日（8日报到）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广东·广州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专题四、七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11月18-22日（18日报到）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专题三、十一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12月6-10日（6日报到）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海南·三亚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专题二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12月9-13日（9日报到）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广东·深圳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专题一、十</w:t>
            </w:r>
          </w:p>
        </w:tc>
      </w:tr>
    </w:tbl>
    <w:p>
      <w:pPr>
        <w:widowControl/>
        <w:numPr>
          <w:ilvl w:val="0"/>
          <w:numId w:val="0"/>
        </w:numPr>
        <w:spacing w:line="360" w:lineRule="auto"/>
        <w:jc w:val="left"/>
        <w:rPr>
          <w:rFonts w:ascii="仿宋_GB2312" w:hAnsi="宋体" w:eastAsia="仿宋_GB2312" w:cs="宋体"/>
          <w:b/>
          <w:bCs/>
          <w:sz w:val="28"/>
          <w:szCs w:val="28"/>
        </w:rPr>
      </w:pP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仿宋_GB2312" w:hAnsi="宋体" w:eastAsia="仿宋_GB2312" w:cs="宋体"/>
          <w:b/>
          <w:bCs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</w:rPr>
        <w:t>培训专题安排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1184" w:hanging="1184" w:hangingChars="400"/>
        <w:jc w:val="left"/>
        <w:textAlignment w:val="auto"/>
        <w:rPr>
          <w:rFonts w:ascii="仿宋_GB2312" w:hAnsi="宋体" w:eastAsia="仿宋_GB2312" w:cs="宋体"/>
          <w:bCs/>
          <w:color w:val="000000"/>
          <w:spacing w:val="8"/>
          <w:kern w:val="1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spacing w:val="8"/>
          <w:kern w:val="1"/>
          <w:sz w:val="28"/>
          <w:szCs w:val="28"/>
        </w:rPr>
        <w:t>专题一：成本分析与管理决策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1184" w:hanging="1184" w:hangingChars="400"/>
        <w:jc w:val="left"/>
        <w:textAlignment w:val="auto"/>
        <w:rPr>
          <w:rFonts w:hint="eastAsia" w:ascii="仿宋_GB2312" w:hAnsi="宋体" w:eastAsia="仿宋_GB2312" w:cs="宋体"/>
          <w:bCs/>
          <w:color w:val="000000"/>
          <w:spacing w:val="8"/>
          <w:kern w:val="1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Cs/>
          <w:color w:val="000000"/>
          <w:spacing w:val="8"/>
          <w:kern w:val="1"/>
          <w:sz w:val="28"/>
          <w:szCs w:val="28"/>
        </w:rPr>
        <w:t>专题二：财务</w:t>
      </w:r>
      <w:r>
        <w:rPr>
          <w:rFonts w:hint="eastAsia" w:ascii="仿宋_GB2312" w:hAnsi="宋体" w:eastAsia="仿宋_GB2312" w:cs="宋体"/>
          <w:bCs/>
          <w:color w:val="000000"/>
          <w:spacing w:val="8"/>
          <w:kern w:val="1"/>
          <w:sz w:val="28"/>
          <w:szCs w:val="28"/>
          <w:highlight w:val="none"/>
        </w:rPr>
        <w:t>分析与</w:t>
      </w:r>
      <w:r>
        <w:rPr>
          <w:rFonts w:hint="eastAsia" w:ascii="仿宋_GB2312" w:hAnsi="宋体" w:eastAsia="仿宋_GB2312" w:cs="宋体"/>
          <w:bCs/>
          <w:color w:val="000000"/>
          <w:spacing w:val="8"/>
          <w:kern w:val="1"/>
          <w:sz w:val="28"/>
          <w:szCs w:val="28"/>
          <w:highlight w:val="none"/>
          <w:lang w:eastAsia="zh-CN"/>
        </w:rPr>
        <w:t>价值创造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1184" w:hanging="1184" w:hangingChars="400"/>
        <w:jc w:val="left"/>
        <w:textAlignment w:val="auto"/>
        <w:rPr>
          <w:rFonts w:ascii="仿宋_GB2312" w:hAnsi="宋体" w:eastAsia="仿宋_GB2312" w:cs="宋体"/>
          <w:bCs/>
          <w:color w:val="000000"/>
          <w:spacing w:val="8"/>
          <w:kern w:val="1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spacing w:val="8"/>
          <w:kern w:val="1"/>
          <w:sz w:val="28"/>
          <w:szCs w:val="28"/>
        </w:rPr>
        <w:t>专题三：企业预算控制与绩效评价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1184" w:hanging="1184" w:hangingChars="400"/>
        <w:jc w:val="left"/>
        <w:textAlignment w:val="auto"/>
        <w:rPr>
          <w:rFonts w:ascii="仿宋_GB2312" w:hAnsi="宋体" w:eastAsia="仿宋_GB2312" w:cs="宋体"/>
          <w:bCs/>
          <w:color w:val="000000"/>
          <w:spacing w:val="8"/>
          <w:kern w:val="1"/>
          <w:sz w:val="28"/>
          <w:szCs w:val="28"/>
          <w:highlight w:val="none"/>
        </w:rPr>
      </w:pPr>
      <w:r>
        <w:rPr>
          <w:rFonts w:hint="eastAsia" w:ascii="仿宋_GB2312" w:hAnsi="宋体" w:eastAsia="仿宋_GB2312" w:cs="宋体"/>
          <w:bCs/>
          <w:color w:val="000000"/>
          <w:spacing w:val="8"/>
          <w:kern w:val="1"/>
          <w:sz w:val="28"/>
          <w:szCs w:val="28"/>
          <w:highlight w:val="none"/>
        </w:rPr>
        <w:t>专题四：企业内部控制与风险管理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1184" w:hanging="1184" w:hangingChars="400"/>
        <w:jc w:val="left"/>
        <w:textAlignment w:val="auto"/>
        <w:rPr>
          <w:rFonts w:hint="eastAsia" w:ascii="仿宋_GB2312" w:hAnsi="宋体" w:eastAsia="仿宋_GB2312" w:cs="宋体"/>
          <w:bCs/>
          <w:color w:val="000000"/>
          <w:spacing w:val="8"/>
          <w:kern w:val="1"/>
          <w:sz w:val="28"/>
          <w:szCs w:val="28"/>
          <w:highlight w:val="none"/>
          <w:lang w:eastAsia="zh-CN"/>
        </w:rPr>
      </w:pPr>
      <w:r>
        <w:rPr>
          <w:rFonts w:hint="eastAsia" w:ascii="仿宋_GB2312" w:hAnsi="宋体" w:eastAsia="仿宋_GB2312" w:cs="宋体"/>
          <w:bCs/>
          <w:color w:val="000000"/>
          <w:spacing w:val="8"/>
          <w:kern w:val="1"/>
          <w:sz w:val="28"/>
          <w:szCs w:val="28"/>
          <w:highlight w:val="none"/>
        </w:rPr>
        <w:t>专题五：</w:t>
      </w:r>
      <w:r>
        <w:rPr>
          <w:rFonts w:hint="eastAsia" w:ascii="仿宋_GB2312" w:hAnsi="宋体" w:eastAsia="仿宋_GB2312" w:cs="宋体"/>
          <w:bCs/>
          <w:color w:val="000000"/>
          <w:spacing w:val="8"/>
          <w:kern w:val="1"/>
          <w:sz w:val="28"/>
          <w:szCs w:val="28"/>
          <w:highlight w:val="none"/>
          <w:lang w:eastAsia="zh-CN"/>
        </w:rPr>
        <w:t>经济责任审计实务与案例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1184" w:hanging="1184" w:hangingChars="400"/>
        <w:jc w:val="left"/>
        <w:textAlignment w:val="auto"/>
        <w:rPr>
          <w:rFonts w:ascii="仿宋_GB2312" w:hAnsi="宋体" w:eastAsia="仿宋_GB2312" w:cs="宋体"/>
          <w:bCs/>
          <w:color w:val="000000"/>
          <w:spacing w:val="8"/>
          <w:kern w:val="1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spacing w:val="8"/>
          <w:kern w:val="1"/>
          <w:sz w:val="28"/>
          <w:szCs w:val="28"/>
        </w:rPr>
        <w:t>专题六：智能财务共享服务中心建设与运营实战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1184" w:hanging="1184" w:hangingChars="400"/>
        <w:jc w:val="left"/>
        <w:textAlignment w:val="auto"/>
        <w:rPr>
          <w:rFonts w:ascii="仿宋_GB2312" w:hAnsi="宋体" w:eastAsia="仿宋_GB2312" w:cs="宋体"/>
          <w:bCs/>
          <w:color w:val="000000"/>
          <w:spacing w:val="8"/>
          <w:kern w:val="1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spacing w:val="8"/>
          <w:kern w:val="1"/>
          <w:sz w:val="28"/>
          <w:szCs w:val="28"/>
        </w:rPr>
        <w:t>专题七：投融资管理与公司并购及重组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1184" w:hanging="1184" w:hangingChars="400"/>
        <w:jc w:val="left"/>
        <w:textAlignment w:val="auto"/>
        <w:rPr>
          <w:rFonts w:ascii="仿宋_GB2312" w:hAnsi="宋体" w:eastAsia="仿宋_GB2312" w:cs="宋体"/>
          <w:bCs/>
          <w:color w:val="000000"/>
          <w:spacing w:val="8"/>
          <w:kern w:val="1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spacing w:val="8"/>
          <w:kern w:val="1"/>
          <w:sz w:val="28"/>
          <w:szCs w:val="28"/>
        </w:rPr>
        <w:t>专题八：数字化时代的业财融合实务与案例分析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jc w:val="both"/>
        <w:textAlignment w:val="auto"/>
        <w:rPr>
          <w:rFonts w:hint="eastAsia" w:ascii="仿宋_GB2312" w:eastAsia="仿宋_GB2312"/>
          <w:bCs/>
          <w:color w:val="000000"/>
          <w:spacing w:val="8"/>
          <w:kern w:val="1"/>
          <w:sz w:val="28"/>
          <w:szCs w:val="28"/>
        </w:rPr>
      </w:pPr>
      <w:r>
        <w:rPr>
          <w:rFonts w:hint="eastAsia" w:ascii="仿宋_GB2312" w:eastAsia="仿宋_GB2312"/>
          <w:bCs/>
          <w:color w:val="000000"/>
          <w:spacing w:val="8"/>
          <w:kern w:val="1"/>
          <w:sz w:val="28"/>
          <w:szCs w:val="28"/>
        </w:rPr>
        <w:t>专题九：财务人员法律素质提升与《民法典》权威解读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jc w:val="both"/>
        <w:textAlignment w:val="auto"/>
        <w:rPr>
          <w:rFonts w:hint="eastAsia" w:ascii="仿宋_GB2312" w:eastAsia="仿宋_GB2312"/>
          <w:bCs/>
          <w:color w:val="000000"/>
          <w:spacing w:val="8"/>
          <w:kern w:val="1"/>
          <w:sz w:val="28"/>
          <w:szCs w:val="28"/>
          <w:lang w:eastAsia="zh-CN"/>
        </w:rPr>
      </w:pPr>
      <w:r>
        <w:rPr>
          <w:rFonts w:hint="eastAsia" w:ascii="仿宋_GB2312" w:eastAsia="仿宋_GB2312"/>
          <w:bCs/>
          <w:color w:val="000000"/>
          <w:spacing w:val="8"/>
          <w:kern w:val="1"/>
          <w:sz w:val="28"/>
          <w:szCs w:val="28"/>
          <w:lang w:eastAsia="zh-CN"/>
        </w:rPr>
        <w:t>专题十：税务管理与筹划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jc w:val="both"/>
        <w:textAlignment w:val="auto"/>
        <w:rPr>
          <w:rFonts w:hint="eastAsia" w:ascii="仿宋_GB2312" w:eastAsia="仿宋_GB2312"/>
          <w:bCs/>
          <w:color w:val="000000"/>
          <w:spacing w:val="8"/>
          <w:kern w:val="1"/>
          <w:sz w:val="28"/>
          <w:szCs w:val="28"/>
          <w:lang w:eastAsia="zh-CN"/>
        </w:rPr>
      </w:pPr>
      <w:r>
        <w:rPr>
          <w:rFonts w:hint="eastAsia" w:ascii="仿宋_GB2312" w:eastAsia="仿宋_GB2312"/>
          <w:bCs/>
          <w:color w:val="000000"/>
          <w:spacing w:val="8"/>
          <w:kern w:val="1"/>
          <w:sz w:val="28"/>
          <w:szCs w:val="28"/>
          <w:lang w:eastAsia="zh-CN"/>
        </w:rPr>
        <w:t>专题十一：企业最新会计准则调整与实务应用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jc w:val="both"/>
        <w:textAlignment w:val="auto"/>
        <w:rPr>
          <w:rFonts w:hint="eastAsia" w:ascii="仿宋_GB2312" w:eastAsia="仿宋_GB2312"/>
          <w:bCs/>
          <w:color w:val="000000"/>
          <w:spacing w:val="8"/>
          <w:kern w:val="1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ascii="仿宋_GB2312" w:hAnsi="宋体" w:eastAsia="仿宋_GB2312" w:cs="宋体"/>
          <w:b/>
          <w:bCs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</w:rPr>
        <w:t>培训对象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20" w:lineRule="exact"/>
        <w:ind w:firstLine="592" w:firstLineChars="200"/>
        <w:jc w:val="left"/>
        <w:textAlignment w:val="auto"/>
        <w:rPr>
          <w:rFonts w:ascii="仿宋_GB2312" w:hAnsi="宋体" w:eastAsia="仿宋_GB2312" w:cs="宋体"/>
          <w:bCs/>
          <w:spacing w:val="8"/>
          <w:kern w:val="1"/>
          <w:sz w:val="28"/>
          <w:szCs w:val="28"/>
        </w:rPr>
      </w:pPr>
      <w:r>
        <w:rPr>
          <w:rFonts w:hint="eastAsia" w:ascii="仿宋_GB2312" w:hAnsi="宋体" w:eastAsia="仿宋_GB2312" w:cs="宋体"/>
          <w:bCs/>
          <w:spacing w:val="8"/>
          <w:kern w:val="1"/>
          <w:sz w:val="28"/>
          <w:szCs w:val="28"/>
        </w:rPr>
        <w:t>企业高级管理人员、财务总监、财务经理、财务主管等财务管理人员、会计人员、审计人员等；地方政府相关部门及新城、新区管委会相关部门、市政公用企业等。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ascii="仿宋_GB2312" w:hAnsi="宋体" w:eastAsia="仿宋_GB2312" w:cs="宋体"/>
          <w:b/>
          <w:bCs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</w:rPr>
        <w:t>授课师资团队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20" w:lineRule="exact"/>
        <w:ind w:firstLine="592" w:firstLineChars="200"/>
        <w:jc w:val="left"/>
        <w:textAlignment w:val="auto"/>
        <w:rPr>
          <w:rFonts w:ascii="仿宋_GB2312" w:hAnsi="宋体" w:eastAsia="仿宋_GB2312" w:cs="宋体"/>
          <w:bCs/>
          <w:spacing w:val="8"/>
          <w:kern w:val="1"/>
          <w:sz w:val="28"/>
          <w:szCs w:val="28"/>
        </w:rPr>
      </w:pPr>
      <w:r>
        <w:rPr>
          <w:rFonts w:hint="eastAsia" w:ascii="仿宋_GB2312" w:hAnsi="宋体" w:eastAsia="仿宋_GB2312" w:cs="宋体"/>
          <w:bCs/>
          <w:spacing w:val="8"/>
          <w:kern w:val="1"/>
          <w:sz w:val="28"/>
          <w:szCs w:val="28"/>
        </w:rPr>
        <w:t>所有课程由来自</w:t>
      </w:r>
      <w:bookmarkStart w:id="0" w:name="_GoBack"/>
      <w:bookmarkEnd w:id="0"/>
      <w:r>
        <w:rPr>
          <w:rFonts w:hint="eastAsia" w:ascii="仿宋_GB2312" w:hAnsi="宋体" w:eastAsia="仿宋_GB2312" w:cs="宋体"/>
          <w:bCs/>
          <w:spacing w:val="8"/>
          <w:kern w:val="1"/>
          <w:sz w:val="28"/>
          <w:szCs w:val="28"/>
        </w:rPr>
        <w:t>国家会计学院、高校、政府部门以及实务界的专业师资团队授课。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ascii="仿宋_GB2312" w:hAnsi="宋体" w:eastAsia="仿宋_GB2312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ascii="仿宋_GB2312" w:hAnsi="宋体" w:eastAsia="仿宋_GB2312" w:cs="宋体"/>
          <w:b/>
          <w:bCs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</w:rPr>
        <w:t>收费标准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20" w:lineRule="exact"/>
        <w:ind w:firstLine="560" w:firstLineChars="200"/>
        <w:jc w:val="left"/>
        <w:textAlignment w:val="auto"/>
        <w:rPr>
          <w:rFonts w:ascii="仿宋_GB2312" w:hAnsi="宋体" w:eastAsia="仿宋_GB2312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shd w:val="clear" w:color="auto" w:fill="FFFFFF"/>
        </w:rPr>
        <w:t>培训费：2900元/人；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20" w:lineRule="exact"/>
        <w:ind w:firstLine="560" w:firstLineChars="200"/>
        <w:jc w:val="left"/>
        <w:textAlignment w:val="auto"/>
        <w:rPr>
          <w:rFonts w:ascii="仿宋_GB2312" w:hAnsi="宋体" w:eastAsia="仿宋_GB2312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shd w:val="clear" w:color="auto" w:fill="FFFFFF"/>
        </w:rPr>
        <w:t>2、食宿统一安排，费用自理；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20" w:lineRule="exact"/>
        <w:ind w:firstLine="560" w:firstLineChars="200"/>
        <w:jc w:val="left"/>
        <w:textAlignment w:val="auto"/>
        <w:rPr>
          <w:rFonts w:ascii="仿宋_GB2312" w:hAnsi="宋体" w:eastAsia="仿宋_GB2312" w:cs="宋体"/>
          <w:bCs/>
          <w:spacing w:val="2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shd w:val="clear" w:color="auto" w:fill="FFFFFF"/>
        </w:rPr>
        <w:t>3、往返交通费用自理</w:t>
      </w:r>
      <w:r>
        <w:rPr>
          <w:rFonts w:hint="eastAsia" w:ascii="仿宋_GB2312" w:hAnsi="宋体" w:eastAsia="仿宋_GB2312" w:cs="宋体"/>
          <w:bCs/>
          <w:spacing w:val="2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ascii="仿宋_GB2312" w:hAnsi="宋体" w:eastAsia="仿宋_GB2312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ascii="仿宋_GB2312" w:hAnsi="宋体" w:eastAsia="仿宋_GB2312" w:cs="宋体"/>
          <w:b/>
          <w:bCs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</w:rPr>
        <w:t xml:space="preserve">结业证书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20" w:lineRule="exact"/>
        <w:ind w:firstLine="560" w:firstLineChars="200"/>
        <w:jc w:val="left"/>
        <w:textAlignment w:val="auto"/>
        <w:rPr>
          <w:rFonts w:ascii="仿宋_GB2312" w:hAnsi="宋体" w:eastAsia="仿宋_GB2312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shd w:val="clear" w:color="auto" w:fill="FFFFFF"/>
        </w:rPr>
        <w:t>培训学习期满后，统一颁发中国总会计师协会《培训结业证书》。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ascii="仿宋_GB2312" w:hAnsi="宋体" w:eastAsia="仿宋_GB2312" w:cs="宋体"/>
          <w:b/>
          <w:bCs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</w:rPr>
        <w:t>报名程序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20" w:lineRule="exact"/>
        <w:ind w:firstLine="560" w:firstLineChars="200"/>
        <w:jc w:val="left"/>
        <w:textAlignment w:val="auto"/>
        <w:rPr>
          <w:rFonts w:hint="eastAsia" w:ascii="仿宋_GB2312" w:hAnsi="宋体" w:eastAsia="仿宋_GB2312" w:cs="宋体"/>
          <w:bCs/>
          <w:spacing w:val="8"/>
          <w:kern w:val="1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shd w:val="clear" w:color="auto" w:fill="FFFFFF"/>
        </w:rPr>
        <w:t>请报名人员按要求填写《报名回执表》（见附件3），报中国总会计师协会培训部或班务组；我们将按报名先后发放《报到通知》。本《通知》文件信息发布见中国总会计师协会网站</w:t>
      </w:r>
      <w:r>
        <w:fldChar w:fldCharType="begin"/>
      </w:r>
      <w:r>
        <w:instrText xml:space="preserve"> HYPERLINK "http://www.cacfo.com" </w:instrText>
      </w:r>
      <w:r>
        <w:fldChar w:fldCharType="separate"/>
      </w:r>
      <w:r>
        <w:rPr>
          <w:rFonts w:hint="eastAsia" w:ascii="仿宋_GB2312" w:hAnsi="宋体" w:eastAsia="仿宋_GB2312" w:cs="宋体"/>
          <w:color w:val="000000"/>
          <w:sz w:val="28"/>
          <w:szCs w:val="28"/>
          <w:shd w:val="clear" w:color="auto" w:fill="FFFFFF"/>
        </w:rPr>
        <w:t>www.cacfo.com</w:t>
      </w:r>
      <w:r>
        <w:rPr>
          <w:rFonts w:hint="eastAsia" w:ascii="仿宋_GB2312" w:hAnsi="宋体" w:eastAsia="仿宋_GB2312" w:cs="宋体"/>
          <w:color w:val="000000"/>
          <w:sz w:val="28"/>
          <w:szCs w:val="28"/>
          <w:shd w:val="clear" w:color="auto" w:fill="FFFFFF"/>
        </w:rPr>
        <w:fldChar w:fldCharType="end"/>
      </w:r>
      <w:r>
        <w:rPr>
          <w:rFonts w:hint="eastAsia" w:ascii="仿宋_GB2312" w:hAnsi="宋体" w:eastAsia="仿宋_GB2312" w:cs="宋体"/>
          <w:color w:val="000000"/>
          <w:sz w:val="28"/>
          <w:szCs w:val="28"/>
          <w:shd w:val="clear" w:color="auto" w:fill="FFFFFF"/>
        </w:rPr>
        <w:t>和华夏财金网。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5A1167"/>
    <w:multiLevelType w:val="singleLevel"/>
    <w:tmpl w:val="DA5A116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D17E0E6"/>
    <w:multiLevelType w:val="singleLevel"/>
    <w:tmpl w:val="2D17E0E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6449B"/>
    <w:rsid w:val="1636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2022-02-10T06:17:00Z</dcterms:created>
  <dc:creator>桑立强</dc:creator>
  <cp:lastModifiedBy>桑立强</cp:lastModifiedBy>
  <dcterms:modified xsi:type="dcterms:W3CDTF">2022-02-10T06:18:47Z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10A9F8A95C2F4F9C874467E15DEF86A4</vt:lpwstr>
  </property>
</Properties>
</file>