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ascii="仿宋_GB2312" w:eastAsia="仿宋_GB2312"/>
          <w:b/>
          <w:sz w:val="28"/>
          <w:szCs w:val="28"/>
        </w:rPr>
      </w:pPr>
      <w:r>
        <w:rPr>
          <w:rFonts w:hint="eastAsia" w:ascii="仿宋_GB2312" w:eastAsia="仿宋_GB2312"/>
          <w:sz w:val="28"/>
          <w:szCs w:val="28"/>
        </w:rPr>
        <w:t>附件2：</w:t>
      </w:r>
    </w:p>
    <w:p>
      <w:pPr>
        <w:spacing w:line="480" w:lineRule="exact"/>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年《数字经济时代的财务转型与业财融合暨管理会计能力提升系列专题培训班》课程大纲</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专题一：公司财务战略管理与商业模式创新专题</w:t>
      </w:r>
    </w:p>
    <w:p>
      <w:pPr>
        <w:numPr>
          <w:ilvl w:val="0"/>
          <w:numId w:val="1"/>
        </w:numPr>
        <w:tabs>
          <w:tab w:val="left" w:pos="1620"/>
          <w:tab w:val="left" w:pos="1800"/>
        </w:tabs>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公司财务战略管理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公司财务战略管理观念的建立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公司财务战略管理的基础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公司财务战略管理对传统财务管理的挑战</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公司财务战略管理研究方法与过程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公司生命周期财务战略管理</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（二）</w:t>
      </w:r>
      <w:r>
        <w:rPr>
          <w:rFonts w:hint="eastAsia" w:ascii="仿宋_GB2312" w:eastAsia="仿宋_GB2312"/>
          <w:b/>
          <w:sz w:val="28"/>
          <w:szCs w:val="28"/>
        </w:rPr>
        <w:t>通过商业模式打造企业盈利系统</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移动互联时代对商业模式的颠覆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商业模式创新与跨行业竞争模式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通过商业模式全面改善现金流</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专题二：业财融合与管理会计价值创造-管理会计落地专题</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管理会计定位与业务财务职能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财务会计转型与管理会计技能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财务战略与发展战略的统一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战略财务管理与业务财务职能</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业务财务价值实现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业务财务的职能与四维价值</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业务财务的组织建立与绩效评价</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业务财务实施技能与案例解析</w:t>
      </w:r>
    </w:p>
    <w:p>
      <w:pPr>
        <w:numPr>
          <w:ilvl w:val="0"/>
          <w:numId w:val="3"/>
        </w:numPr>
        <w:spacing w:line="40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管理会计体系设计与应用指引解析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管理会计体系设计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管理会计应用指引基本体例格式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管理会计案例库特点与应用</w:t>
      </w:r>
    </w:p>
    <w:p>
      <w:pPr>
        <w:numPr>
          <w:ilvl w:val="0"/>
          <w:numId w:val="3"/>
        </w:numPr>
        <w:spacing w:line="40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业财融合案例</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专题三：企业投融资策略与资本运营专题</w:t>
      </w:r>
    </w:p>
    <w:p>
      <w:pPr>
        <w:tabs>
          <w:tab w:val="left" w:pos="1620"/>
          <w:tab w:val="left" w:pos="1800"/>
        </w:tabs>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（一）资本运营与最新金融形势</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（二）融资策略设计与实施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现行经济形势下企业投融资风险分析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融资前的需求分析与评估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融资渠道与方法的选择技巧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融资常见问题与对策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私募股权融资的应用过程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股权融资的技术问题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（三）投资项目实施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投资项目优劣的标准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投资分析的主要工具及方法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财务数据分析与风险识别</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建立正确有效的评估体系</w:t>
      </w:r>
    </w:p>
    <w:p>
      <w:pPr>
        <w:spacing w:beforeLines="30"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四</w:t>
      </w:r>
      <w:r>
        <w:rPr>
          <w:rFonts w:hint="eastAsia" w:ascii="仿宋_GB2312" w:hAnsi="宋体" w:eastAsia="仿宋_GB2312"/>
          <w:b/>
          <w:bCs/>
          <w:sz w:val="28"/>
          <w:szCs w:val="28"/>
        </w:rPr>
        <w:t>：大数据内部审计实务操作与智能审计应用专题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w:t>
      </w:r>
      <w:r>
        <w:rPr>
          <w:rFonts w:ascii="仿宋_GB2312" w:hAnsi="宋体" w:eastAsia="仿宋_GB2312"/>
          <w:b/>
          <w:bCs/>
          <w:sz w:val="28"/>
          <w:szCs w:val="28"/>
        </w:rPr>
        <w:t>大数据对内部审计的影响</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大数据</w:t>
      </w:r>
      <w:r>
        <w:rPr>
          <w:rFonts w:hint="eastAsia" w:ascii="仿宋_GB2312" w:hAnsi="宋体" w:eastAsia="仿宋_GB2312"/>
          <w:sz w:val="28"/>
          <w:szCs w:val="28"/>
        </w:rPr>
        <w:t>的</w:t>
      </w:r>
      <w:r>
        <w:rPr>
          <w:rFonts w:ascii="仿宋_GB2312" w:hAnsi="宋体" w:eastAsia="仿宋_GB2312"/>
          <w:sz w:val="28"/>
          <w:szCs w:val="28"/>
        </w:rPr>
        <w:t>简介</w:t>
      </w:r>
      <w:r>
        <w:rPr>
          <w:rFonts w:hint="eastAsia" w:ascii="仿宋_GB2312" w:hAnsi="宋体" w:eastAsia="仿宋_GB2312"/>
          <w:sz w:val="28"/>
          <w:szCs w:val="28"/>
        </w:rPr>
        <w:t>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内部审计的转型</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（二）审计人员需要掌握的新技能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数据仓库建立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机器学习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常用算法</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（三）建模思路与智能分析方法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风险与数据转换</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建模思路</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智能分析方法</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（四）智能审计平台搭建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与战略对接</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与企业信息化体系融合</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实现“</w:t>
      </w:r>
      <w:r>
        <w:rPr>
          <w:rFonts w:ascii="仿宋_GB2312" w:hAnsi="宋体" w:eastAsia="仿宋_GB2312"/>
          <w:sz w:val="28"/>
          <w:szCs w:val="28"/>
        </w:rPr>
        <w:t>三互</w:t>
      </w:r>
      <w:r>
        <w:rPr>
          <w:rFonts w:hint="eastAsia" w:ascii="仿宋_GB2312" w:hAnsi="宋体" w:eastAsia="仿宋_GB2312"/>
          <w:sz w:val="28"/>
          <w:szCs w:val="28"/>
        </w:rPr>
        <w:t>”</w:t>
      </w:r>
    </w:p>
    <w:p>
      <w:pPr>
        <w:spacing w:beforeLines="30"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w:t>
      </w:r>
      <w:r>
        <w:rPr>
          <w:rFonts w:hint="eastAsia" w:ascii="仿宋_GB2312" w:hAnsi="宋体" w:eastAsia="仿宋_GB2312"/>
          <w:b/>
          <w:bCs/>
          <w:sz w:val="28"/>
          <w:szCs w:val="28"/>
          <w:highlight w:val="none"/>
          <w:lang w:val="en-US" w:eastAsia="zh-CN"/>
        </w:rPr>
        <w:t>五</w:t>
      </w:r>
      <w:r>
        <w:rPr>
          <w:rFonts w:hint="eastAsia" w:ascii="仿宋_GB2312" w:hAnsi="宋体" w:eastAsia="仿宋_GB2312"/>
          <w:b/>
          <w:bCs/>
          <w:sz w:val="28"/>
          <w:szCs w:val="28"/>
          <w:highlight w:val="none"/>
        </w:rPr>
        <w:t>：国资内控监管要求</w:t>
      </w:r>
      <w:r>
        <w:rPr>
          <w:rFonts w:hint="eastAsia" w:ascii="仿宋_GB2312" w:hAnsi="宋体" w:eastAsia="仿宋_GB2312"/>
          <w:b/>
          <w:bCs/>
          <w:sz w:val="28"/>
          <w:szCs w:val="28"/>
          <w:highlight w:val="none"/>
          <w:lang w:val="en-US" w:eastAsia="zh-CN"/>
        </w:rPr>
        <w:t>下企业</w:t>
      </w:r>
      <w:r>
        <w:rPr>
          <w:rFonts w:hint="eastAsia" w:ascii="仿宋_GB2312" w:hAnsi="宋体" w:eastAsia="仿宋_GB2312"/>
          <w:b/>
          <w:bCs/>
          <w:sz w:val="28"/>
          <w:szCs w:val="28"/>
          <w:highlight w:val="none"/>
        </w:rPr>
        <w:t>内控合规</w:t>
      </w:r>
      <w:r>
        <w:rPr>
          <w:rFonts w:hint="eastAsia" w:ascii="仿宋_GB2312" w:hAnsi="宋体" w:eastAsia="仿宋_GB2312"/>
          <w:b/>
          <w:bCs/>
          <w:sz w:val="28"/>
          <w:szCs w:val="28"/>
          <w:highlight w:val="none"/>
          <w:lang w:val="en-US" w:eastAsia="zh-CN"/>
        </w:rPr>
        <w:t>与风险管控</w:t>
      </w:r>
      <w:r>
        <w:rPr>
          <w:rFonts w:hint="eastAsia" w:ascii="仿宋_GB2312" w:hAnsi="宋体" w:eastAsia="仿宋_GB2312"/>
          <w:b/>
          <w:bCs/>
          <w:sz w:val="28"/>
          <w:szCs w:val="28"/>
          <w:highlight w:val="none"/>
        </w:rPr>
        <w:t>专题</w:t>
      </w:r>
    </w:p>
    <w:p>
      <w:pPr>
        <w:pStyle w:val="4"/>
        <w:numPr>
          <w:ilvl w:val="0"/>
          <w:numId w:val="4"/>
        </w:numPr>
        <w:spacing w:beforeLines="30" w:afterLines="30" w:line="480" w:lineRule="exact"/>
        <w:ind w:firstLineChars="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国资内控监管最新要求解读</w:t>
      </w:r>
    </w:p>
    <w:p>
      <w:pPr>
        <w:numPr>
          <w:ilvl w:val="0"/>
          <w:numId w:val="2"/>
        </w:numPr>
        <w:spacing w:line="480" w:lineRule="exact"/>
        <w:ind w:leftChars="200" w:firstLine="397"/>
        <w:jc w:val="left"/>
        <w:rPr>
          <w:rFonts w:ascii="仿宋_GB2312" w:hAnsi="宋体" w:eastAsia="仿宋_GB2312"/>
          <w:spacing w:val="-12"/>
          <w:sz w:val="28"/>
          <w:szCs w:val="28"/>
          <w:highlight w:val="none"/>
        </w:rPr>
      </w:pPr>
      <w:r>
        <w:rPr>
          <w:rFonts w:hint="eastAsia" w:ascii="仿宋_GB2312" w:hAnsi="宋体" w:eastAsia="仿宋_GB2312"/>
          <w:spacing w:val="-12"/>
          <w:sz w:val="28"/>
          <w:szCs w:val="28"/>
          <w:highlight w:val="none"/>
        </w:rPr>
        <w:t>《关于加强中央企业内部控制体系建设与监督工作的实施意见》解析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国资内控监管最新要求对内部控制、风险管理与合规的影响</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基于国资内控监管最新要求下国有企业风险点剖析</w:t>
      </w:r>
    </w:p>
    <w:p>
      <w:pPr>
        <w:pStyle w:val="4"/>
        <w:numPr>
          <w:ilvl w:val="0"/>
          <w:numId w:val="4"/>
        </w:numPr>
        <w:spacing w:beforeLines="30" w:afterLines="30" w:line="480" w:lineRule="exact"/>
        <w:ind w:firstLineChars="0"/>
        <w:rPr>
          <w:rFonts w:ascii="仿宋_GB2312" w:hAnsi="宋体" w:eastAsia="仿宋_GB2312"/>
          <w:b/>
          <w:bCs/>
          <w:sz w:val="28"/>
          <w:szCs w:val="28"/>
        </w:rPr>
      </w:pPr>
      <w:r>
        <w:rPr>
          <w:rFonts w:hint="eastAsia" w:ascii="仿宋_GB2312" w:hAnsi="宋体" w:eastAsia="仿宋_GB2312"/>
          <w:b/>
          <w:bCs/>
          <w:sz w:val="28"/>
          <w:szCs w:val="28"/>
          <w:highlight w:val="none"/>
        </w:rPr>
        <w:t>国资监管最新要求下的风险管控体系建设与优化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国资监管最新要求下的内控体系优化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企业风险管理体系建设与优化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如何促进和提升企业内控持续优化与有效性</w:t>
      </w:r>
    </w:p>
    <w:p>
      <w:pPr>
        <w:tabs>
          <w:tab w:val="left" w:pos="1620"/>
          <w:tab w:val="left" w:pos="1800"/>
        </w:tabs>
        <w:spacing w:line="480" w:lineRule="exact"/>
        <w:ind w:firstLine="413" w:firstLineChars="147"/>
        <w:jc w:val="left"/>
        <w:rPr>
          <w:rFonts w:ascii="仿宋_GB2312" w:eastAsia="仿宋_GB2312"/>
          <w:b/>
          <w:bCs/>
          <w:sz w:val="28"/>
          <w:szCs w:val="28"/>
        </w:rPr>
      </w:pPr>
      <w:r>
        <w:rPr>
          <w:rFonts w:hint="eastAsia" w:ascii="仿宋_GB2312" w:hAnsi="宋体" w:eastAsia="仿宋_GB2312"/>
          <w:b/>
          <w:bCs/>
          <w:sz w:val="28"/>
          <w:szCs w:val="28"/>
        </w:rPr>
        <w:t>（三）风险评估分析与内控报告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人、财、物的消耗与管理费用的评估分析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现金流、利润率等指标的评估分析</w:t>
      </w:r>
    </w:p>
    <w:p>
      <w:pPr>
        <w:numPr>
          <w:ilvl w:val="0"/>
          <w:numId w:val="2"/>
        </w:numPr>
        <w:spacing w:line="480" w:lineRule="exact"/>
        <w:ind w:leftChars="200" w:firstLine="397"/>
        <w:jc w:val="left"/>
        <w:rPr>
          <w:rFonts w:ascii="仿宋_GB2312" w:eastAsia="仿宋_GB2312"/>
          <w:b/>
          <w:sz w:val="28"/>
          <w:szCs w:val="28"/>
        </w:rPr>
      </w:pPr>
      <w:r>
        <w:rPr>
          <w:rFonts w:hint="eastAsia" w:ascii="仿宋_GB2312" w:hAnsi="宋体" w:eastAsia="仿宋_GB2312"/>
          <w:sz w:val="28"/>
          <w:szCs w:val="28"/>
        </w:rPr>
        <w:t>企业内部控制报告的撰写技巧</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企业的控制案例分析</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六</w:t>
      </w:r>
      <w:r>
        <w:rPr>
          <w:rFonts w:hint="eastAsia" w:ascii="仿宋_GB2312" w:hAnsi="宋体" w:eastAsia="仿宋_GB2312"/>
          <w:b/>
          <w:bCs/>
          <w:sz w:val="28"/>
          <w:szCs w:val="28"/>
        </w:rPr>
        <w:t>：基于战略目标的全面预算管理专题</w:t>
      </w:r>
    </w:p>
    <w:p>
      <w:pPr>
        <w:numPr>
          <w:ilvl w:val="0"/>
          <w:numId w:val="5"/>
        </w:numPr>
        <w:spacing w:line="480" w:lineRule="exact"/>
        <w:ind w:firstLine="413" w:firstLineChars="147"/>
        <w:jc w:val="left"/>
        <w:rPr>
          <w:rFonts w:ascii="仿宋_GB2312" w:hAnsi="宋体" w:eastAsia="仿宋_GB2312"/>
          <w:b/>
          <w:sz w:val="28"/>
          <w:szCs w:val="28"/>
        </w:rPr>
      </w:pPr>
      <w:r>
        <w:rPr>
          <w:rFonts w:hint="eastAsia" w:ascii="仿宋_GB2312" w:hAnsi="宋体" w:eastAsia="仿宋_GB2312"/>
          <w:b/>
          <w:sz w:val="28"/>
          <w:szCs w:val="28"/>
        </w:rPr>
        <w:t>战略预算管理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企业战略与全面预算的关系</w:t>
      </w:r>
    </w:p>
    <w:p>
      <w:pPr>
        <w:numPr>
          <w:ilvl w:val="0"/>
          <w:numId w:val="2"/>
        </w:numPr>
        <w:spacing w:line="480" w:lineRule="exact"/>
        <w:ind w:leftChars="200" w:firstLine="397"/>
        <w:jc w:val="left"/>
        <w:rPr>
          <w:rFonts w:ascii="仿宋_GB2312" w:hAnsi="宋体" w:eastAsia="仿宋_GB2312"/>
          <w:b/>
          <w:sz w:val="28"/>
          <w:szCs w:val="28"/>
        </w:rPr>
      </w:pPr>
      <w:r>
        <w:rPr>
          <w:rFonts w:hint="eastAsia" w:ascii="仿宋_GB2312" w:hAnsi="宋体" w:eastAsia="仿宋_GB2312"/>
          <w:sz w:val="28"/>
          <w:szCs w:val="28"/>
        </w:rPr>
        <w:t>全面预算管理如何实现企业战略意图</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（二）</w:t>
      </w:r>
      <w:r>
        <w:rPr>
          <w:rFonts w:hint="eastAsia" w:ascii="仿宋_GB2312" w:hAnsi="宋体" w:eastAsia="仿宋_GB2312"/>
          <w:b/>
          <w:sz w:val="28"/>
          <w:szCs w:val="28"/>
        </w:rPr>
        <w:t>全面预算体系的构建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预算编制的框架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预算编制方法的实用性与反作用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预算管理的误解</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三级递进预算目标的确定原则</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关键预算的编制方法及案例分析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预算偏差度的设定技巧与协调</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（三）</w:t>
      </w:r>
      <w:r>
        <w:rPr>
          <w:rFonts w:hint="eastAsia" w:ascii="仿宋_GB2312" w:hAnsi="宋体" w:eastAsia="仿宋_GB2312"/>
          <w:b/>
          <w:sz w:val="28"/>
          <w:szCs w:val="28"/>
        </w:rPr>
        <w:t>全面预算的有效执行</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仪表板使用与预算执行情况跟踪</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差异分析与预算分析体系的建立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预算与执行脱节的原因分析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考核管理和激励机制的重要性</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预算执行中的常见行为剖析与案例分析</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七</w:t>
      </w:r>
      <w:r>
        <w:rPr>
          <w:rFonts w:hint="eastAsia" w:ascii="仿宋_GB2312" w:hAnsi="宋体" w:eastAsia="仿宋_GB2312"/>
          <w:b/>
          <w:bCs/>
          <w:sz w:val="28"/>
          <w:szCs w:val="28"/>
        </w:rPr>
        <w:t>：企业</w:t>
      </w:r>
      <w:r>
        <w:rPr>
          <w:rFonts w:hint="eastAsia" w:ascii="仿宋_GB2312" w:hAnsi="宋体" w:eastAsia="仿宋_GB2312"/>
          <w:b/>
          <w:bCs/>
          <w:sz w:val="28"/>
          <w:szCs w:val="28"/>
          <w:lang w:val="en-US" w:eastAsia="zh-CN"/>
        </w:rPr>
        <w:t>战略</w:t>
      </w:r>
      <w:r>
        <w:rPr>
          <w:rFonts w:hint="eastAsia" w:ascii="仿宋_GB2312" w:hAnsi="宋体" w:eastAsia="仿宋_GB2312"/>
          <w:b/>
          <w:bCs/>
          <w:sz w:val="28"/>
          <w:szCs w:val="28"/>
        </w:rPr>
        <w:t>成本管理与价值链成本管控专题</w:t>
      </w:r>
    </w:p>
    <w:p>
      <w:pPr>
        <w:tabs>
          <w:tab w:val="left" w:pos="1620"/>
          <w:tab w:val="left" w:pos="1800"/>
        </w:tabs>
        <w:spacing w:line="48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（一）新成本制度解析与成本管理体系</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企业产品成本核算制度</w:t>
      </w:r>
      <w:r>
        <w:rPr>
          <w:rFonts w:hint="eastAsia" w:ascii="仿宋_GB2312" w:hAnsi="宋体" w:eastAsia="仿宋_GB2312"/>
          <w:sz w:val="28"/>
          <w:szCs w:val="28"/>
        </w:rPr>
        <w:t>解析与趋势分析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多维视觉下的精细化产品成本核算体系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利润测算与目标成本确定</w:t>
      </w:r>
    </w:p>
    <w:p>
      <w:pPr>
        <w:tabs>
          <w:tab w:val="left" w:pos="1620"/>
          <w:tab w:val="left" w:pos="1800"/>
        </w:tabs>
        <w:spacing w:line="480" w:lineRule="exact"/>
        <w:ind w:firstLine="413" w:firstLineChars="147"/>
        <w:jc w:val="left"/>
        <w:rPr>
          <w:rFonts w:hint="eastAsia" w:ascii="仿宋_GB2312" w:hAnsi="宋体" w:eastAsia="仿宋_GB2312"/>
          <w:b/>
          <w:bCs/>
          <w:sz w:val="28"/>
          <w:szCs w:val="28"/>
        </w:rPr>
      </w:pPr>
      <w:r>
        <w:rPr>
          <w:rFonts w:hint="eastAsia" w:ascii="仿宋_GB2312" w:hAnsi="宋体" w:eastAsia="仿宋_GB2312"/>
          <w:b/>
          <w:bCs/>
          <w:sz w:val="28"/>
          <w:szCs w:val="28"/>
        </w:rPr>
        <w:t>（二）颠覆传统视角的战略成本管理</w:t>
      </w:r>
    </w:p>
    <w:p>
      <w:pPr>
        <w:tabs>
          <w:tab w:val="left" w:pos="1620"/>
          <w:tab w:val="left" w:pos="1800"/>
        </w:tabs>
        <w:spacing w:line="480" w:lineRule="exact"/>
        <w:ind w:firstLine="413" w:firstLineChars="147"/>
        <w:jc w:val="left"/>
        <w:rPr>
          <w:rFonts w:ascii="仿宋_GB2312" w:eastAsia="仿宋_GB2312"/>
          <w:color w:val="000000"/>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三</w:t>
      </w:r>
      <w:r>
        <w:rPr>
          <w:rFonts w:hint="eastAsia" w:ascii="仿宋_GB2312" w:hAnsi="宋体" w:eastAsia="仿宋_GB2312"/>
          <w:b/>
          <w:bCs/>
          <w:sz w:val="28"/>
          <w:szCs w:val="28"/>
        </w:rPr>
        <w:t>）价值链成本管理与案例解析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四</w:t>
      </w:r>
      <w:r>
        <w:rPr>
          <w:rFonts w:hint="eastAsia" w:ascii="仿宋_GB2312" w:hAnsi="宋体" w:eastAsia="仿宋_GB2312"/>
          <w:b/>
          <w:bCs/>
          <w:sz w:val="28"/>
          <w:szCs w:val="28"/>
        </w:rPr>
        <w:t>）供应链成本管控与流程再造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差异化定位系统图</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与供应商共同降低成本</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供应链中关键点控制</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八</w:t>
      </w:r>
      <w:r>
        <w:rPr>
          <w:rFonts w:hint="eastAsia" w:ascii="仿宋_GB2312" w:hAnsi="宋体" w:eastAsia="仿宋_GB2312"/>
          <w:b/>
          <w:bCs/>
          <w:sz w:val="28"/>
          <w:szCs w:val="28"/>
        </w:rPr>
        <w:t>:</w:t>
      </w:r>
      <w:r>
        <w:rPr>
          <w:rFonts w:hint="eastAsia" w:ascii="仿宋_GB2312" w:hAnsi="宋体" w:eastAsia="仿宋_GB2312"/>
          <w:b/>
          <w:bCs/>
          <w:spacing w:val="-2"/>
          <w:w w:val="90"/>
          <w:sz w:val="28"/>
          <w:szCs w:val="28"/>
        </w:rPr>
        <w:t>大数据时代的财务报表分析和新准则下报表格式变动案例解读专题</w:t>
      </w:r>
    </w:p>
    <w:p>
      <w:pPr>
        <w:numPr>
          <w:ilvl w:val="0"/>
          <w:numId w:val="6"/>
        </w:numPr>
        <w:spacing w:line="480" w:lineRule="exact"/>
        <w:ind w:left="420"/>
        <w:jc w:val="left"/>
        <w:rPr>
          <w:rFonts w:ascii="仿宋_GB2312" w:hAnsi="宋体" w:eastAsia="仿宋_GB2312"/>
          <w:b/>
          <w:bCs/>
          <w:sz w:val="28"/>
          <w:szCs w:val="28"/>
        </w:rPr>
      </w:pPr>
      <w:r>
        <w:rPr>
          <w:rFonts w:hint="eastAsia" w:ascii="仿宋_GB2312" w:hAnsi="宋体" w:eastAsia="仿宋_GB2312"/>
          <w:b/>
          <w:bCs/>
          <w:sz w:val="28"/>
          <w:szCs w:val="28"/>
        </w:rPr>
        <w:t>新准则下报表格式变动案例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一般企业财务报表格式的修订及解读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合并财务报表格式操作难点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合并报表编制实务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新会计准则变动对报表的影响</w:t>
      </w:r>
    </w:p>
    <w:p>
      <w:p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（二）财务报表信息质量识别</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财务报表粉饰的类型及手法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舞弊风险因素有效性分析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如何通过财务报表透视企业经营管理存在的问题</w:t>
      </w:r>
    </w:p>
    <w:p>
      <w:pPr>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（三）大数据时代财务报表分析企业盈利能力</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通过关键财务指标分析企业获利能力</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盈利能力与财务比率综合运用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行业经济特征与财务报告之间的关系</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财务绩效指标的应用</w:t>
      </w:r>
    </w:p>
    <w:p>
      <w:pPr>
        <w:spacing w:beforeLines="30"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w:t>
      </w:r>
      <w:r>
        <w:rPr>
          <w:rFonts w:hint="eastAsia" w:ascii="仿宋_GB2312" w:hAnsi="宋体" w:eastAsia="仿宋_GB2312"/>
          <w:b/>
          <w:bCs/>
          <w:sz w:val="28"/>
          <w:szCs w:val="28"/>
          <w:highlight w:val="none"/>
          <w:lang w:val="en-US" w:eastAsia="zh-CN"/>
        </w:rPr>
        <w:t>九</w:t>
      </w:r>
      <w:r>
        <w:rPr>
          <w:rFonts w:hint="eastAsia" w:ascii="仿宋_GB2312" w:hAnsi="宋体" w:eastAsia="仿宋_GB2312"/>
          <w:b/>
          <w:bCs/>
          <w:sz w:val="28"/>
          <w:szCs w:val="28"/>
          <w:highlight w:val="none"/>
        </w:rPr>
        <w:t>：企业会计准则最新调整与实务应用专题</w:t>
      </w:r>
    </w:p>
    <w:p>
      <w:pPr>
        <w:numPr>
          <w:ilvl w:val="0"/>
          <w:numId w:val="7"/>
        </w:numPr>
        <w:spacing w:line="48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新收入准则解读和实务操作</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新收入准则修订的背景</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收入确认计量的五步法</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 xml:space="preserve">特定交易的会计处理 </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新收入准则的会计科目设置和报表列报</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新收入准则案例解读</w:t>
      </w:r>
    </w:p>
    <w:p>
      <w:pPr>
        <w:spacing w:line="44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（二）新租赁准则解读和实务操作</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新租赁准则修订的原因和主要变化点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新租赁准则对承租人的主要影响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使用权资产和租赁负债的确认和计量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短期租赁和低价值租赁的界定和核算</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其他修订内容</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（三）其他新修订和发布准则解读和实务操作</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政府补助准则的主要修订内容及影响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持有待售的非流动资产及终止经营准则主要修订内容及影响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非货币性资产交换准则主要修订内容及影响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债务重组准则主要修订内容及影响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《企业会计准则解释第13号》的主要内容及影响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《企业会计准则解释第14号》的主要内容及影响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w:t>
      </w:r>
      <w:r>
        <w:rPr>
          <w:rFonts w:hint="eastAsia" w:ascii="仿宋_GB2312" w:hAnsi="宋体" w:eastAsia="仿宋_GB2312"/>
          <w:sz w:val="28"/>
          <w:szCs w:val="28"/>
          <w:lang w:val="en-US" w:eastAsia="zh-CN"/>
        </w:rPr>
        <w:t>5</w:t>
      </w:r>
      <w:r>
        <w:rPr>
          <w:rFonts w:hint="eastAsia" w:ascii="仿宋_GB2312" w:hAnsi="宋体" w:eastAsia="仿宋_GB2312"/>
          <w:sz w:val="28"/>
          <w:szCs w:val="28"/>
        </w:rPr>
        <w:t>号》的主要内容及影响</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应用新准则案例解读</w:t>
      </w:r>
    </w:p>
    <w:p>
      <w:pPr>
        <w:spacing w:beforeLines="30" w:afterLines="30" w:line="480" w:lineRule="exact"/>
        <w:ind w:firstLine="413" w:firstLineChars="147"/>
        <w:rPr>
          <w:rFonts w:hint="eastAsia" w:ascii="仿宋_GB2312" w:hAnsi="宋体" w:eastAsia="仿宋_GB2312"/>
          <w:b/>
          <w:bCs/>
          <w:sz w:val="28"/>
          <w:szCs w:val="28"/>
        </w:rPr>
      </w:pPr>
      <w:r>
        <w:rPr>
          <w:rFonts w:hint="eastAsia" w:ascii="仿宋_GB2312" w:hAnsi="宋体" w:eastAsia="仿宋_GB2312"/>
          <w:b/>
          <w:bCs/>
          <w:sz w:val="28"/>
          <w:szCs w:val="28"/>
        </w:rPr>
        <w:t>专题十：金税四期税收管理变化与纳税风险管控及税务筹划专题</w:t>
      </w:r>
    </w:p>
    <w:p>
      <w:pPr>
        <w:numPr>
          <w:ilvl w:val="0"/>
          <w:numId w:val="8"/>
        </w:numPr>
        <w:tabs>
          <w:tab w:val="left" w:pos="1620"/>
          <w:tab w:val="left" w:pos="1800"/>
        </w:tabs>
        <w:spacing w:line="460" w:lineRule="exact"/>
        <w:ind w:firstLine="413"/>
        <w:jc w:val="left"/>
        <w:rPr>
          <w:rFonts w:ascii="仿宋_GB2312" w:hAnsi="仿宋_GB2312" w:eastAsia="仿宋_GB2312" w:cs="宋体"/>
          <w:color w:val="000000"/>
          <w:kern w:val="0"/>
          <w:sz w:val="28"/>
          <w:szCs w:val="32"/>
        </w:rPr>
      </w:pPr>
      <w:r>
        <w:rPr>
          <w:rFonts w:hint="eastAsia" w:ascii="仿宋_GB2312" w:hAnsi="宋体" w:eastAsia="仿宋_GB2312"/>
          <w:b/>
          <w:bCs/>
          <w:sz w:val="28"/>
          <w:szCs w:val="28"/>
          <w:lang w:val="en-US" w:eastAsia="zh-CN"/>
        </w:rPr>
        <w:t>金税四期下的税收环境分析</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lang w:val="en-US" w:eastAsia="zh-CN"/>
        </w:rPr>
        <w:t>金税四期下</w:t>
      </w:r>
      <w:r>
        <w:rPr>
          <w:rFonts w:hint="eastAsia" w:ascii="仿宋_GB2312" w:hAnsi="宋体" w:eastAsia="仿宋_GB2312"/>
          <w:b/>
          <w:bCs/>
          <w:sz w:val="28"/>
          <w:szCs w:val="28"/>
        </w:rPr>
        <w:t>税收征管变化</w:t>
      </w:r>
      <w:r>
        <w:rPr>
          <w:rFonts w:hint="eastAsia" w:ascii="仿宋_GB2312" w:hAnsi="宋体" w:eastAsia="仿宋_GB2312"/>
          <w:b/>
          <w:bCs/>
          <w:sz w:val="28"/>
          <w:szCs w:val="28"/>
          <w:lang w:val="en-US" w:eastAsia="zh-CN"/>
        </w:rPr>
        <w:t>与应对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lang w:val="en-US" w:eastAsia="zh-CN"/>
        </w:rPr>
        <w:t>金税四期下</w:t>
      </w:r>
      <w:r>
        <w:rPr>
          <w:rFonts w:hint="eastAsia" w:ascii="仿宋_GB2312" w:hAnsi="宋体" w:eastAsia="仿宋_GB2312"/>
          <w:sz w:val="28"/>
          <w:szCs w:val="28"/>
        </w:rPr>
        <w:t>税务部门税收征管的主要管控手段</w:t>
      </w:r>
    </w:p>
    <w:p>
      <w:pPr>
        <w:numPr>
          <w:ilvl w:val="0"/>
          <w:numId w:val="2"/>
        </w:numPr>
        <w:spacing w:line="480" w:lineRule="exact"/>
        <w:ind w:leftChars="200" w:firstLine="397"/>
        <w:jc w:val="left"/>
        <w:rPr>
          <w:rFonts w:hint="eastAsia" w:ascii="仿宋_GB2312" w:hAnsi="宋体" w:eastAsia="仿宋_GB2312"/>
          <w:b/>
          <w:bCs/>
          <w:sz w:val="28"/>
          <w:szCs w:val="28"/>
        </w:rPr>
      </w:pPr>
      <w:r>
        <w:rPr>
          <w:rFonts w:hint="eastAsia" w:ascii="仿宋_GB2312" w:hAnsi="宋体" w:eastAsia="仿宋_GB2312"/>
          <w:sz w:val="28"/>
          <w:szCs w:val="28"/>
        </w:rPr>
        <w:t>企业对税务部门税收征管变化的应对</w:t>
      </w:r>
    </w:p>
    <w:p>
      <w:pPr>
        <w:numPr>
          <w:ilvl w:val="0"/>
          <w:numId w:val="8"/>
        </w:numPr>
        <w:tabs>
          <w:tab w:val="left" w:pos="1620"/>
          <w:tab w:val="left" w:pos="1800"/>
        </w:tabs>
        <w:spacing w:line="460" w:lineRule="exact"/>
        <w:ind w:firstLine="413"/>
        <w:jc w:val="left"/>
        <w:rPr>
          <w:rFonts w:hint="eastAsia" w:ascii="仿宋_GB2312" w:hAnsi="宋体" w:eastAsia="仿宋_GB2312"/>
          <w:b/>
          <w:bCs/>
          <w:sz w:val="28"/>
          <w:szCs w:val="28"/>
        </w:rPr>
      </w:pPr>
      <w:r>
        <w:rPr>
          <w:rFonts w:hint="eastAsia" w:ascii="仿宋_GB2312" w:hAnsi="宋体" w:eastAsia="仿宋_GB2312"/>
          <w:b/>
          <w:bCs/>
          <w:sz w:val="28"/>
          <w:szCs w:val="28"/>
          <w:lang w:val="en-US" w:eastAsia="zh-CN"/>
        </w:rPr>
        <w:t>金税四期下企业税收风险管理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企业税收风险形成的因素分析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当前企业税收环境的主要变化及影响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新形势下企业税收风险管理和税收筹划的基本框架</w:t>
      </w:r>
    </w:p>
    <w:p>
      <w:pPr>
        <w:numPr>
          <w:ilvl w:val="0"/>
          <w:numId w:val="8"/>
        </w:numPr>
        <w:tabs>
          <w:tab w:val="left" w:pos="1620"/>
          <w:tab w:val="left" w:pos="1800"/>
        </w:tabs>
        <w:spacing w:line="46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基于税收政策变化的企业税收风险管理和税收筹划</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增值税政策的主要变化及未来增值税立法的趋势</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税收政策变化背景企业税收风险管理的要点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税收政策变化背景企业税收筹划的重点</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基于会计准则变化的企业税收风险管理和税收筹划</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新收入准则及其它准则变化对企业税收处理的影响</w:t>
      </w:r>
    </w:p>
    <w:p>
      <w:pPr>
        <w:numPr>
          <w:ilvl w:val="0"/>
          <w:numId w:val="2"/>
        </w:numPr>
        <w:spacing w:line="480" w:lineRule="exact"/>
        <w:ind w:leftChars="200" w:firstLine="397"/>
        <w:jc w:val="left"/>
        <w:rPr>
          <w:rFonts w:ascii="仿宋_GB2312" w:hAnsi="宋体" w:eastAsia="仿宋_GB2312"/>
          <w:spacing w:val="-6"/>
          <w:sz w:val="28"/>
          <w:szCs w:val="28"/>
        </w:rPr>
      </w:pPr>
      <w:r>
        <w:rPr>
          <w:rFonts w:hint="eastAsia" w:ascii="仿宋_GB2312" w:hAnsi="宋体" w:eastAsia="仿宋_GB2312"/>
          <w:spacing w:val="-6"/>
          <w:sz w:val="28"/>
          <w:szCs w:val="28"/>
        </w:rPr>
        <w:t>新收入准则及其它准则变化形成的税收风险管理和税收筹划安排</w:t>
      </w:r>
    </w:p>
    <w:p>
      <w:pPr>
        <w:numPr>
          <w:ilvl w:val="0"/>
          <w:numId w:val="8"/>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基于企业业财一体化的税收控管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企业税收风险管理和税收筹划的合同管理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企业所得税风险管控的所得税凭证管理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F37A9"/>
    <w:multiLevelType w:val="multilevel"/>
    <w:tmpl w:val="07CF37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983246"/>
    <w:multiLevelType w:val="multilevel"/>
    <w:tmpl w:val="14983246"/>
    <w:lvl w:ilvl="0" w:tentative="0">
      <w:start w:val="1"/>
      <w:numFmt w:val="japaneseCounting"/>
      <w:lvlText w:val="（%1）"/>
      <w:lvlJc w:val="left"/>
      <w:pPr>
        <w:ind w:left="1296" w:hanging="883"/>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
    <w:nsid w:val="5A486FB5"/>
    <w:multiLevelType w:val="singleLevel"/>
    <w:tmpl w:val="5A486FB5"/>
    <w:lvl w:ilvl="0" w:tentative="0">
      <w:start w:val="1"/>
      <w:numFmt w:val="chineseCounting"/>
      <w:suff w:val="nothing"/>
      <w:lvlText w:val="（%1）"/>
      <w:lvlJc w:val="left"/>
      <w:rPr>
        <w:b/>
      </w:rPr>
    </w:lvl>
  </w:abstractNum>
  <w:abstractNum w:abstractNumId="3">
    <w:nsid w:val="5A4877AA"/>
    <w:multiLevelType w:val="singleLevel"/>
    <w:tmpl w:val="5A4877AA"/>
    <w:lvl w:ilvl="0" w:tentative="0">
      <w:start w:val="1"/>
      <w:numFmt w:val="chineseCounting"/>
      <w:suff w:val="nothing"/>
      <w:lvlText w:val="（%1）"/>
      <w:lvlJc w:val="left"/>
    </w:lvl>
  </w:abstractNum>
  <w:abstractNum w:abstractNumId="4">
    <w:nsid w:val="5A4A6308"/>
    <w:multiLevelType w:val="singleLevel"/>
    <w:tmpl w:val="5A4A6308"/>
    <w:lvl w:ilvl="0" w:tentative="0">
      <w:start w:val="1"/>
      <w:numFmt w:val="chineseCounting"/>
      <w:suff w:val="nothing"/>
      <w:lvlText w:val="（%1）"/>
      <w:lvlJc w:val="left"/>
      <w:rPr>
        <w:b/>
      </w:rPr>
    </w:lvl>
  </w:abstractNum>
  <w:abstractNum w:abstractNumId="5">
    <w:nsid w:val="5A4AE223"/>
    <w:multiLevelType w:val="singleLevel"/>
    <w:tmpl w:val="5A4AE223"/>
    <w:lvl w:ilvl="0" w:tentative="0">
      <w:start w:val="1"/>
      <w:numFmt w:val="chineseCounting"/>
      <w:suff w:val="nothing"/>
      <w:lvlText w:val="（%1）"/>
      <w:lvlJc w:val="left"/>
    </w:lvl>
  </w:abstractNum>
  <w:abstractNum w:abstractNumId="6">
    <w:nsid w:val="5A4AEFC1"/>
    <w:multiLevelType w:val="singleLevel"/>
    <w:tmpl w:val="5A4AEFC1"/>
    <w:lvl w:ilvl="0" w:tentative="0">
      <w:start w:val="1"/>
      <w:numFmt w:val="chineseCounting"/>
      <w:suff w:val="nothing"/>
      <w:lvlText w:val="（%1）"/>
      <w:lvlJc w:val="left"/>
    </w:lvl>
  </w:abstractNum>
  <w:abstractNum w:abstractNumId="7">
    <w:nsid w:val="5A57252E"/>
    <w:multiLevelType w:val="singleLevel"/>
    <w:tmpl w:val="5A57252E"/>
    <w:lvl w:ilvl="0" w:tentative="0">
      <w:start w:val="1"/>
      <w:numFmt w:val="chineseCounting"/>
      <w:suff w:val="nothing"/>
      <w:lvlText w:val="（%1）"/>
      <w:lvlJc w:val="left"/>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70CF5"/>
    <w:rsid w:val="1ED7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2022-02-10T06:08:00Z</dcterms:created>
  <dc:creator>桑立强</dc:creator>
  <cp:lastModifiedBy>桑立强</cp:lastModifiedBy>
  <dcterms:modified xsi:type="dcterms:W3CDTF">2022-02-10T06:09:20Z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5295499FA12641E5B3FA1DAC230FE2E3</vt:lpwstr>
  </property>
</Properties>
</file>