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before="156" w:beforeLines="50" w:after="156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hint="eastAsia" w:ascii="宋体" w:hAnsi="宋体"/>
          <w:b/>
          <w:spacing w:val="-4"/>
          <w:kern w:val="0"/>
          <w:sz w:val="32"/>
          <w:szCs w:val="32"/>
        </w:rPr>
        <w:t>202</w:t>
      </w:r>
      <w:r>
        <w:rPr>
          <w:rFonts w:hint="eastAsia" w:ascii="宋体" w:hAnsi="宋体"/>
          <w:b/>
          <w:spacing w:val="-4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pacing w:val="-4"/>
          <w:kern w:val="0"/>
          <w:sz w:val="32"/>
          <w:szCs w:val="32"/>
        </w:rPr>
        <w:t>年《政府会计准则制度最新解释与重难点解析和预算绩效、成本核算、国有资产管理专题培训班》报名表</w:t>
      </w:r>
    </w:p>
    <w:p>
      <w:pPr>
        <w:spacing w:before="312" w:beforeLines="100" w:after="156" w:afterLines="50" w:line="300" w:lineRule="exact"/>
        <w:ind w:left="-11" w:leftChars="-37" w:hanging="67" w:hangingChars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单位（盖章）：                                       时间：     年   月   日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37"/>
                <w:tab w:val="left" w:pos="417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42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pacing w:val="44"/>
                <w:sz w:val="24"/>
              </w:rPr>
            </w:pPr>
            <w:r>
              <w:rPr>
                <w:rFonts w:hint="default" w:ascii="仿宋_GB2312" w:hAnsi="宋体" w:eastAsia="仿宋_GB2312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120" w:firstLineChars="5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  <w:r>
              <w:rPr>
                <w:rFonts w:hint="default"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hint="default"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70" w:firstLineChars="196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中国工商银行北京远洋风景支行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bCs/>
                <w:sz w:val="24"/>
              </w:rPr>
              <w:t>0200214309200138401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北京正远时代教育科技有限公司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7654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before="93"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hint="eastAsia" w:ascii="宋体" w:hAnsi="宋体"/>
          <w:szCs w:val="21"/>
        </w:rPr>
        <w:t>68980802、68980801；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（2）表中“合住”为2人合住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（3）本报名表可复制                            会务联系人：培训部 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F62C7"/>
    <w:rsid w:val="01B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2022-02-10T05:54:00Z</dcterms:created>
  <dc:creator>桑立强</dc:creator>
  <cp:lastModifiedBy>桑立强</cp:lastModifiedBy>
  <dcterms:modified xsi:type="dcterms:W3CDTF">2022-02-10T05:54:54Z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9FC1DCEB06484E3283D4FA8BD1D16FEC</vt:lpwstr>
  </property>
</Properties>
</file>