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20"/>
        </w:tabs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spacing w:before="156" w:beforeLines="50" w:line="400" w:lineRule="exact"/>
        <w:ind w:left="630" w:leftChars="3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年《政府会计准则制度最新解释与重难点解析和预算绩效、成本核算、国有资产管理专题培训班》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      </w:t>
      </w:r>
      <w:r>
        <w:rPr>
          <w:rFonts w:hint="eastAsia" w:ascii="宋体" w:hAnsi="宋体"/>
          <w:b/>
          <w:sz w:val="32"/>
          <w:szCs w:val="32"/>
        </w:rPr>
        <w:t>专题介绍</w:t>
      </w:r>
    </w:p>
    <w:p>
      <w:pPr>
        <w:spacing w:before="312" w:beforeLines="100" w:after="156" w:afterLines="50" w:line="480" w:lineRule="exact"/>
        <w:ind w:firstLine="413" w:firstLineChars="147"/>
        <w:rPr>
          <w:rFonts w:hint="eastAsia" w:ascii="仿宋_GB2312" w:hAnsi="Calibri" w:eastAsia="仿宋_GB2312"/>
          <w:b/>
          <w:spacing w:val="-4"/>
          <w:w w:val="90"/>
          <w:kern w:val="0"/>
          <w:sz w:val="28"/>
          <w:szCs w:val="28"/>
        </w:rPr>
      </w:pPr>
      <w:r>
        <w:rPr>
          <w:rFonts w:hint="eastAsia" w:ascii="仿宋_GB2312" w:hAnsi="Calibri" w:eastAsia="仿宋_GB2312"/>
          <w:b/>
          <w:kern w:val="0"/>
          <w:sz w:val="28"/>
          <w:szCs w:val="28"/>
        </w:rPr>
        <w:t>专题一：</w:t>
      </w:r>
      <w:r>
        <w:rPr>
          <w:rFonts w:hint="eastAsia" w:ascii="仿宋_GB2312" w:hAnsi="Calibri" w:eastAsia="仿宋_GB2312"/>
          <w:b/>
          <w:spacing w:val="-4"/>
          <w:w w:val="90"/>
          <w:kern w:val="0"/>
          <w:sz w:val="28"/>
          <w:szCs w:val="28"/>
        </w:rPr>
        <w:t>政府会计准则制度最新解释及重难点解析与</w:t>
      </w:r>
      <w:r>
        <w:rPr>
          <w:rFonts w:hint="eastAsia" w:ascii="仿宋_GB2312" w:hAnsi="Calibri" w:eastAsia="仿宋_GB2312"/>
          <w:b/>
          <w:spacing w:val="-4"/>
          <w:w w:val="90"/>
          <w:kern w:val="0"/>
          <w:sz w:val="28"/>
          <w:szCs w:val="28"/>
          <w:lang w:val="en-US" w:eastAsia="zh-CN"/>
        </w:rPr>
        <w:t>事业单位财务规则</w:t>
      </w:r>
      <w:r>
        <w:rPr>
          <w:rFonts w:hint="eastAsia" w:ascii="仿宋_GB2312" w:hAnsi="Calibri" w:eastAsia="仿宋_GB2312"/>
          <w:b/>
          <w:spacing w:val="-4"/>
          <w:w w:val="90"/>
          <w:kern w:val="0"/>
          <w:sz w:val="28"/>
          <w:szCs w:val="28"/>
        </w:rPr>
        <w:t>专题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1、政府会计准则制度重难点</w:t>
      </w:r>
    </w:p>
    <w:p>
      <w:pPr>
        <w:tabs>
          <w:tab w:val="left" w:pos="1620"/>
          <w:tab w:val="left" w:pos="1800"/>
        </w:tabs>
        <w:spacing w:line="520" w:lineRule="exact"/>
        <w:ind w:firstLine="561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主要会计科目解读</w:t>
      </w:r>
    </w:p>
    <w:p>
      <w:pPr>
        <w:tabs>
          <w:tab w:val="left" w:pos="1620"/>
          <w:tab w:val="left" w:pos="1800"/>
        </w:tabs>
        <w:spacing w:line="520" w:lineRule="exact"/>
        <w:ind w:firstLine="561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政府会计年末预算结余与结转核算</w:t>
      </w:r>
    </w:p>
    <w:p>
      <w:pPr>
        <w:tabs>
          <w:tab w:val="left" w:pos="1620"/>
          <w:tab w:val="left" w:pos="1800"/>
        </w:tabs>
        <w:spacing w:line="520" w:lineRule="exact"/>
        <w:ind w:firstLine="561"/>
        <w:jc w:val="left"/>
        <w:rPr>
          <w:rFonts w:hint="eastAsia"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年初会计调整事项</w:t>
      </w:r>
    </w:p>
    <w:p>
      <w:pPr>
        <w:tabs>
          <w:tab w:val="left" w:pos="1620"/>
          <w:tab w:val="left" w:pos="1800"/>
        </w:tabs>
        <w:spacing w:line="520" w:lineRule="exact"/>
        <w:ind w:firstLine="561"/>
        <w:jc w:val="left"/>
        <w:rPr>
          <w:rFonts w:hint="eastAsia"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会计报表编制</w:t>
      </w:r>
    </w:p>
    <w:p>
      <w:pPr>
        <w:tabs>
          <w:tab w:val="left" w:pos="1620"/>
          <w:tab w:val="left" w:pos="1800"/>
        </w:tabs>
        <w:spacing w:line="520" w:lineRule="exact"/>
        <w:ind w:firstLine="561"/>
        <w:jc w:val="left"/>
        <w:rPr>
          <w:rFonts w:hint="eastAsia"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政府会计准则制度解释第1号-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cs="仿宋_GB2312"/>
          <w:sz w:val="28"/>
          <w:szCs w:val="28"/>
        </w:rPr>
        <w:t>号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2、政府财务报表分析及应用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hint="eastAsia"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3、合并财务报表的编制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hint="default" w:ascii="仿宋_GB2312" w:eastAsia="仿宋_GB2312" w:cs="仿宋_GB2312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b/>
          <w:sz w:val="28"/>
          <w:szCs w:val="28"/>
          <w:lang w:val="en-US" w:eastAsia="zh-CN"/>
        </w:rPr>
        <w:t>4、事业单位财务规则解读与新旧财务规则变化重点解析</w:t>
      </w:r>
    </w:p>
    <w:p>
      <w:pPr>
        <w:tabs>
          <w:tab w:val="left" w:pos="1620"/>
          <w:tab w:val="left" w:pos="1800"/>
        </w:tabs>
        <w:spacing w:before="93" w:beforeLines="30" w:after="93" w:afterLines="30" w:line="520" w:lineRule="exact"/>
        <w:ind w:firstLine="413" w:firstLineChars="147"/>
        <w:jc w:val="left"/>
        <w:rPr>
          <w:rFonts w:hint="eastAsia" w:ascii="仿宋_GB2312" w:hAnsi="Calibri" w:eastAsia="仿宋_GB2312"/>
          <w:b/>
          <w:w w:val="90"/>
          <w:kern w:val="0"/>
          <w:sz w:val="28"/>
          <w:szCs w:val="28"/>
        </w:rPr>
      </w:pPr>
      <w:r>
        <w:rPr>
          <w:rFonts w:hint="eastAsia" w:ascii="仿宋_GB2312" w:hAnsi="Calibri" w:eastAsia="仿宋_GB2312"/>
          <w:b/>
          <w:kern w:val="0"/>
          <w:sz w:val="28"/>
          <w:szCs w:val="28"/>
        </w:rPr>
        <w:t xml:space="preserve">专题二: </w:t>
      </w:r>
      <w:r>
        <w:rPr>
          <w:rFonts w:hint="eastAsia" w:ascii="仿宋_GB2312" w:hAnsi="Calibri" w:eastAsia="仿宋_GB2312"/>
          <w:b/>
          <w:w w:val="90"/>
          <w:kern w:val="0"/>
          <w:sz w:val="28"/>
          <w:szCs w:val="28"/>
        </w:rPr>
        <w:t>行政事业单位预算管理一体化建设与重点绩效评价实务专题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1、《预算法实施条例》解读与热点问题分析</w:t>
      </w:r>
    </w:p>
    <w:p>
      <w:pPr>
        <w:tabs>
          <w:tab w:val="left" w:pos="1620"/>
          <w:tab w:val="left" w:pos="1800"/>
        </w:tabs>
        <w:spacing w:line="520" w:lineRule="exact"/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《预算法实施条例》主要改革与创新</w:t>
      </w:r>
    </w:p>
    <w:p>
      <w:pPr>
        <w:tabs>
          <w:tab w:val="left" w:pos="1620"/>
          <w:tab w:val="left" w:pos="1800"/>
        </w:tabs>
        <w:spacing w:line="520" w:lineRule="exact"/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《预算法实施条例》重要具体条款解读</w:t>
      </w:r>
    </w:p>
    <w:p>
      <w:pPr>
        <w:tabs>
          <w:tab w:val="left" w:pos="1620"/>
          <w:tab w:val="left" w:pos="1800"/>
        </w:tabs>
        <w:spacing w:line="520" w:lineRule="exact"/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新条例下PPP、专项债等难点、热点问题的规范化路径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2、预算管理一体化相关制度解读</w:t>
      </w:r>
    </w:p>
    <w:p>
      <w:pPr>
        <w:tabs>
          <w:tab w:val="left" w:pos="1620"/>
          <w:tab w:val="left" w:pos="1800"/>
        </w:tabs>
        <w:spacing w:line="520" w:lineRule="exact"/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)《预算管理一体化规范》解读</w:t>
      </w:r>
    </w:p>
    <w:p>
      <w:pPr>
        <w:tabs>
          <w:tab w:val="left" w:pos="1620"/>
          <w:tab w:val="left" w:pos="1800"/>
        </w:tabs>
        <w:spacing w:line="520" w:lineRule="exact"/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)《预算管理一体化系统技术标准》解读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3、预算管理一体化建设总体思路和管理机制</w:t>
      </w:r>
    </w:p>
    <w:p>
      <w:pPr>
        <w:tabs>
          <w:tab w:val="left" w:pos="1620"/>
          <w:tab w:val="left" w:pos="1800"/>
        </w:tabs>
        <w:spacing w:line="520" w:lineRule="exact"/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预算一体化进程中存在的问题</w:t>
      </w:r>
    </w:p>
    <w:p>
      <w:pPr>
        <w:tabs>
          <w:tab w:val="left" w:pos="1620"/>
          <w:tab w:val="left" w:pos="1800"/>
        </w:tabs>
        <w:spacing w:line="520" w:lineRule="exact"/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落实项目管理理念</w:t>
      </w:r>
    </w:p>
    <w:p>
      <w:pPr>
        <w:tabs>
          <w:tab w:val="left" w:pos="1620"/>
          <w:tab w:val="left" w:pos="1800"/>
        </w:tabs>
        <w:spacing w:line="520" w:lineRule="exact"/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合理利用财务管理信息模块</w:t>
      </w:r>
    </w:p>
    <w:p>
      <w:pPr>
        <w:tabs>
          <w:tab w:val="left" w:pos="1620"/>
          <w:tab w:val="left" w:pos="1800"/>
        </w:tabs>
        <w:spacing w:line="520" w:lineRule="exact"/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架构一体化管理信息系统</w:t>
      </w:r>
    </w:p>
    <w:p>
      <w:pPr>
        <w:tabs>
          <w:tab w:val="left" w:pos="1620"/>
          <w:tab w:val="left" w:pos="1800"/>
        </w:tabs>
        <w:spacing w:line="520" w:lineRule="exact"/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预算管理一体化下的财务管理机制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4、项目库与预算管理</w:t>
      </w:r>
    </w:p>
    <w:p>
      <w:pPr>
        <w:tabs>
          <w:tab w:val="left" w:pos="1620"/>
          <w:tab w:val="left" w:pos="1800"/>
        </w:tabs>
        <w:spacing w:line="520" w:lineRule="exact"/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项目库管理</w:t>
      </w:r>
    </w:p>
    <w:p>
      <w:pPr>
        <w:tabs>
          <w:tab w:val="left" w:pos="1620"/>
          <w:tab w:val="left" w:pos="1800"/>
        </w:tabs>
        <w:spacing w:line="520" w:lineRule="exact"/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预算编制</w:t>
      </w:r>
    </w:p>
    <w:p>
      <w:pPr>
        <w:tabs>
          <w:tab w:val="left" w:pos="1620"/>
          <w:tab w:val="left" w:pos="1800"/>
        </w:tabs>
        <w:spacing w:line="520" w:lineRule="exact"/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预算批复</w:t>
      </w:r>
    </w:p>
    <w:p>
      <w:pPr>
        <w:tabs>
          <w:tab w:val="left" w:pos="1620"/>
          <w:tab w:val="left" w:pos="1800"/>
        </w:tabs>
        <w:spacing w:line="520" w:lineRule="exact"/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预算调整与调剂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5、预算执行</w:t>
      </w:r>
    </w:p>
    <w:p>
      <w:pPr>
        <w:tabs>
          <w:tab w:val="left" w:pos="1620"/>
          <w:tab w:val="left" w:pos="1800"/>
        </w:tabs>
        <w:spacing w:line="520" w:lineRule="exact"/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收入预算执行</w:t>
      </w:r>
    </w:p>
    <w:p>
      <w:pPr>
        <w:tabs>
          <w:tab w:val="left" w:pos="1620"/>
          <w:tab w:val="left" w:pos="1800"/>
        </w:tabs>
        <w:spacing w:line="520" w:lineRule="exact"/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支出预算执行</w:t>
      </w:r>
    </w:p>
    <w:p>
      <w:pPr>
        <w:tabs>
          <w:tab w:val="left" w:pos="1620"/>
          <w:tab w:val="left" w:pos="1800"/>
        </w:tabs>
        <w:spacing w:line="520" w:lineRule="exact"/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预算执行管理具体业务的流程、岗位、操作、控制、责任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6、重点绩效评价实务与案例</w:t>
      </w:r>
    </w:p>
    <w:p>
      <w:pPr>
        <w:tabs>
          <w:tab w:val="left" w:pos="1620"/>
          <w:tab w:val="left" w:pos="1800"/>
        </w:tabs>
        <w:spacing w:line="520" w:lineRule="exact"/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财政政策绩效评价操作实务 </w:t>
      </w:r>
    </w:p>
    <w:p>
      <w:pPr>
        <w:tabs>
          <w:tab w:val="left" w:pos="1620"/>
          <w:tab w:val="left" w:pos="1800"/>
        </w:tabs>
        <w:spacing w:line="520" w:lineRule="exact"/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部门整体支出绩效评价</w:t>
      </w:r>
      <w:r>
        <w:rPr>
          <w:rFonts w:ascii="仿宋_GB2312" w:eastAsia="仿宋_GB2312" w:cs="仿宋_GB2312"/>
          <w:sz w:val="28"/>
          <w:szCs w:val="28"/>
        </w:rPr>
        <w:t xml:space="preserve"> </w:t>
      </w:r>
    </w:p>
    <w:p>
      <w:pPr>
        <w:tabs>
          <w:tab w:val="left" w:pos="1620"/>
          <w:tab w:val="left" w:pos="1800"/>
        </w:tabs>
        <w:spacing w:line="520" w:lineRule="exact"/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政府性（投资）基金绩效评价实务</w:t>
      </w:r>
    </w:p>
    <w:p>
      <w:pPr>
        <w:tabs>
          <w:tab w:val="left" w:pos="1620"/>
          <w:tab w:val="left" w:pos="1800"/>
        </w:tabs>
        <w:spacing w:line="520" w:lineRule="exact"/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PPP项目绩效管理最新政策解读与应用实务</w:t>
      </w:r>
    </w:p>
    <w:p>
      <w:pPr>
        <w:tabs>
          <w:tab w:val="left" w:pos="1620"/>
          <w:tab w:val="left" w:pos="1800"/>
        </w:tabs>
        <w:spacing w:line="520" w:lineRule="exact"/>
        <w:ind w:firstLine="560" w:firstLineChars="200"/>
        <w:jc w:val="left"/>
        <w:rPr>
          <w:rFonts w:hint="eastAsia"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新出台重大政策、支出项目事前绩效评价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hint="eastAsia"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lang w:val="en-US" w:eastAsia="zh-CN"/>
        </w:rPr>
        <w:t>7、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评价方案编写及报告撰写共性问题归纳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、评价质量把控——高质量“报告”的标准</w:t>
      </w:r>
    </w:p>
    <w:p>
      <w:pPr>
        <w:tabs>
          <w:tab w:val="left" w:pos="1620"/>
          <w:tab w:val="left" w:pos="1800"/>
        </w:tabs>
        <w:ind w:firstLine="413" w:firstLineChars="147"/>
        <w:jc w:val="left"/>
        <w:rPr>
          <w:rFonts w:hint="eastAsia" w:ascii="仿宋_GB2312" w:hAnsi="Calibri" w:eastAsia="仿宋_GB2312"/>
          <w:b/>
          <w:w w:val="90"/>
          <w:kern w:val="0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/>
          <w:b/>
          <w:kern w:val="0"/>
          <w:sz w:val="28"/>
          <w:szCs w:val="28"/>
        </w:rPr>
        <w:t>专题三：</w:t>
      </w:r>
      <w:r>
        <w:rPr>
          <w:rFonts w:hint="eastAsia" w:ascii="仿宋_GB2312" w:hAnsi="Calibri" w:eastAsia="仿宋_GB2312"/>
          <w:b/>
          <w:w w:val="90"/>
          <w:kern w:val="0"/>
          <w:sz w:val="28"/>
          <w:szCs w:val="28"/>
        </w:rPr>
        <w:t>行政事业单位</w:t>
      </w:r>
      <w:r>
        <w:rPr>
          <w:rFonts w:hint="eastAsia" w:ascii="仿宋_GB2312" w:hAnsi="Calibri" w:eastAsia="仿宋_GB2312"/>
          <w:b/>
          <w:w w:val="90"/>
          <w:kern w:val="0"/>
          <w:sz w:val="28"/>
          <w:szCs w:val="28"/>
          <w:lang w:val="en-US" w:eastAsia="zh-CN"/>
        </w:rPr>
        <w:t>成本核算管理专题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  <w:lang w:val="en-US" w:eastAsia="zh-CN"/>
        </w:rPr>
        <w:t>1、</w:t>
      </w:r>
      <w:r>
        <w:rPr>
          <w:rFonts w:hint="eastAsia" w:ascii="仿宋_GB2312" w:eastAsia="仿宋_GB2312" w:cs="仿宋_GB2312"/>
          <w:b/>
          <w:sz w:val="28"/>
          <w:szCs w:val="28"/>
        </w:rPr>
        <w:t>《事业单位成本核算基本指引》解析</w:t>
      </w:r>
    </w:p>
    <w:p>
      <w:pPr>
        <w:tabs>
          <w:tab w:val="left" w:pos="1620"/>
          <w:tab w:val="left" w:pos="1800"/>
        </w:tabs>
        <w:spacing w:line="520" w:lineRule="exact"/>
        <w:ind w:firstLine="561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成本核算指引的背景、制定原则、定位和作用</w:t>
      </w:r>
    </w:p>
    <w:p>
      <w:pPr>
        <w:tabs>
          <w:tab w:val="left" w:pos="1620"/>
          <w:tab w:val="left" w:pos="1800"/>
        </w:tabs>
        <w:spacing w:line="520" w:lineRule="exact"/>
        <w:ind w:firstLine="561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成本核算指引与政府会计准则制度的关系</w:t>
      </w:r>
    </w:p>
    <w:p>
      <w:pPr>
        <w:tabs>
          <w:tab w:val="left" w:pos="1620"/>
          <w:tab w:val="left" w:pos="1800"/>
        </w:tabs>
        <w:spacing w:line="520" w:lineRule="exact"/>
        <w:ind w:firstLine="561"/>
        <w:jc w:val="left"/>
        <w:rPr>
          <w:rFonts w:hint="eastAsia"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成本核算的对象及成本项目和范围</w:t>
      </w:r>
    </w:p>
    <w:p>
      <w:pPr>
        <w:tabs>
          <w:tab w:val="left" w:pos="1620"/>
          <w:tab w:val="left" w:pos="1800"/>
        </w:tabs>
        <w:spacing w:line="520" w:lineRule="exact"/>
        <w:jc w:val="left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成本归集、分配的流程、方法及成本报告</w:t>
      </w:r>
    </w:p>
    <w:p>
      <w:pPr>
        <w:tabs>
          <w:tab w:val="left" w:pos="1620"/>
          <w:tab w:val="left" w:pos="1800"/>
        </w:tabs>
        <w:ind w:firstLine="562" w:firstLineChars="200"/>
        <w:jc w:val="left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cs="仿宋_GB2312"/>
          <w:b/>
          <w:sz w:val="28"/>
          <w:szCs w:val="28"/>
        </w:rPr>
        <w:t>、政府成本会计实务操作</w:t>
      </w:r>
    </w:p>
    <w:p>
      <w:pPr>
        <w:tabs>
          <w:tab w:val="left" w:pos="1620"/>
          <w:tab w:val="left" w:pos="1800"/>
        </w:tabs>
        <w:spacing w:line="520" w:lineRule="exact"/>
        <w:ind w:firstLine="561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日常行政办公业务核算</w:t>
      </w:r>
    </w:p>
    <w:p>
      <w:pPr>
        <w:tabs>
          <w:tab w:val="left" w:pos="1620"/>
          <w:tab w:val="left" w:pos="1800"/>
        </w:tabs>
        <w:spacing w:line="520" w:lineRule="exact"/>
        <w:ind w:firstLine="561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成本控制的风险与关键控制点</w:t>
      </w:r>
    </w:p>
    <w:p>
      <w:pPr>
        <w:tabs>
          <w:tab w:val="left" w:pos="1620"/>
          <w:tab w:val="left" w:pos="1800"/>
        </w:tabs>
        <w:spacing w:line="520" w:lineRule="exact"/>
        <w:ind w:firstLine="561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成本费用的预算控制</w:t>
      </w:r>
    </w:p>
    <w:p>
      <w:pPr>
        <w:tabs>
          <w:tab w:val="left" w:pos="1620"/>
          <w:tab w:val="left" w:pos="1800"/>
        </w:tabs>
        <w:spacing w:line="520" w:lineRule="exact"/>
        <w:ind w:firstLine="561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如何化解成本管理的目标与预算管理的目标的矛盾</w:t>
      </w:r>
    </w:p>
    <w:p>
      <w:pPr>
        <w:tabs>
          <w:tab w:val="left" w:pos="1620"/>
          <w:tab w:val="left" w:pos="1800"/>
        </w:tabs>
        <w:spacing w:line="520" w:lineRule="exact"/>
        <w:ind w:firstLine="561"/>
        <w:jc w:val="left"/>
        <w:rPr>
          <w:rFonts w:hint="default" w:ascii="仿宋_GB2312" w:hAnsi="Calibri" w:eastAsia="仿宋_GB2312"/>
          <w:b/>
          <w:w w:val="90"/>
          <w:kern w:val="0"/>
          <w:sz w:val="28"/>
          <w:szCs w:val="28"/>
          <w:lang w:val="en-US" w:eastAsia="zh-CN"/>
        </w:rPr>
      </w:pPr>
      <w:r>
        <w:rPr>
          <w:rFonts w:ascii="仿宋_GB2312" w:eastAsia="仿宋_GB2312" w:cs="仿宋_GB2312"/>
          <w:sz w:val="28"/>
          <w:szCs w:val="28"/>
        </w:rPr>
        <w:t>(</w:t>
      </w:r>
      <w:r>
        <w:rPr>
          <w:rFonts w:hint="eastAsia"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/>
          <w:sz w:val="28"/>
          <w:szCs w:val="28"/>
        </w:rPr>
        <w:t>)</w:t>
      </w:r>
      <w:r>
        <w:rPr>
          <w:rFonts w:hint="eastAsia" w:ascii="仿宋_GB2312" w:eastAsia="仿宋_GB2312" w:cs="仿宋_GB2312"/>
          <w:sz w:val="28"/>
          <w:szCs w:val="28"/>
        </w:rPr>
        <w:t>行政事业单位成本管理路径优化</w:t>
      </w:r>
    </w:p>
    <w:p>
      <w:pPr>
        <w:tabs>
          <w:tab w:val="left" w:pos="1620"/>
          <w:tab w:val="left" w:pos="1800"/>
        </w:tabs>
        <w:ind w:firstLine="413" w:firstLineChars="147"/>
        <w:jc w:val="left"/>
        <w:rPr>
          <w:rFonts w:hint="default" w:ascii="仿宋_GB2312" w:hAnsi="Calibri" w:eastAsia="仿宋_GB2312"/>
          <w:b/>
          <w:w w:val="90"/>
          <w:kern w:val="0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/>
          <w:b/>
          <w:kern w:val="0"/>
          <w:sz w:val="28"/>
          <w:szCs w:val="28"/>
        </w:rPr>
        <w:t>专题</w:t>
      </w:r>
      <w:r>
        <w:rPr>
          <w:rFonts w:hint="eastAsia" w:ascii="仿宋_GB2312" w:hAnsi="Calibri" w:eastAsia="仿宋_GB2312"/>
          <w:b/>
          <w:kern w:val="0"/>
          <w:sz w:val="28"/>
          <w:szCs w:val="28"/>
          <w:lang w:val="en-US" w:eastAsia="zh-CN"/>
        </w:rPr>
        <w:t>四</w:t>
      </w:r>
      <w:r>
        <w:rPr>
          <w:rFonts w:hint="eastAsia" w:ascii="仿宋_GB2312" w:hAnsi="Calibri" w:eastAsia="仿宋_GB2312"/>
          <w:b/>
          <w:kern w:val="0"/>
          <w:sz w:val="28"/>
          <w:szCs w:val="28"/>
        </w:rPr>
        <w:t>：</w:t>
      </w:r>
      <w:r>
        <w:rPr>
          <w:rFonts w:hint="eastAsia" w:ascii="仿宋_GB2312" w:hAnsi="Calibri" w:eastAsia="仿宋_GB2312"/>
          <w:b/>
          <w:w w:val="90"/>
          <w:kern w:val="0"/>
          <w:sz w:val="28"/>
          <w:szCs w:val="28"/>
        </w:rPr>
        <w:t>行政事业单位</w:t>
      </w:r>
      <w:r>
        <w:rPr>
          <w:rFonts w:hint="eastAsia" w:ascii="仿宋_GB2312" w:hAnsi="Calibri" w:eastAsia="仿宋_GB2312"/>
          <w:b/>
          <w:w w:val="90"/>
          <w:kern w:val="0"/>
          <w:sz w:val="28"/>
          <w:szCs w:val="28"/>
          <w:lang w:val="en-US" w:eastAsia="zh-CN"/>
        </w:rPr>
        <w:t>国有资产管理专题</w:t>
      </w:r>
    </w:p>
    <w:p>
      <w:pPr>
        <w:tabs>
          <w:tab w:val="left" w:pos="1620"/>
          <w:tab w:val="left" w:pos="1800"/>
        </w:tabs>
        <w:ind w:firstLine="372" w:firstLineChars="147"/>
        <w:jc w:val="left"/>
        <w:rPr>
          <w:rFonts w:hint="default" w:ascii="仿宋_GB2312" w:hAnsi="Calibri" w:eastAsia="仿宋_GB2312"/>
          <w:b/>
          <w:w w:val="90"/>
          <w:kern w:val="0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/>
          <w:b/>
          <w:w w:val="90"/>
          <w:kern w:val="0"/>
          <w:sz w:val="28"/>
          <w:szCs w:val="28"/>
          <w:lang w:val="en-US" w:eastAsia="zh-CN"/>
        </w:rPr>
        <w:t>1、资产管理最新政策解读</w:t>
      </w:r>
    </w:p>
    <w:p>
      <w:pPr>
        <w:tabs>
          <w:tab w:val="left" w:pos="1620"/>
          <w:tab w:val="left" w:pos="1800"/>
        </w:tabs>
        <w:spacing w:line="520" w:lineRule="exact"/>
        <w:ind w:firstLine="561"/>
        <w:jc w:val="left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 w:cs="仿宋_GB2312"/>
          <w:sz w:val="28"/>
          <w:szCs w:val="28"/>
        </w:rPr>
        <w:t>《行政事业性国有资产管理条例》解读</w:t>
      </w:r>
    </w:p>
    <w:p>
      <w:pPr>
        <w:tabs>
          <w:tab w:val="left" w:pos="1620"/>
          <w:tab w:val="left" w:pos="1800"/>
        </w:tabs>
        <w:spacing w:line="520" w:lineRule="exact"/>
        <w:ind w:firstLine="561"/>
        <w:jc w:val="left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）《</w:t>
      </w:r>
      <w:r>
        <w:rPr>
          <w:rFonts w:hint="eastAsia" w:ascii="仿宋_GB2312" w:eastAsia="仿宋_GB2312" w:cs="仿宋_GB2312"/>
          <w:sz w:val="28"/>
          <w:szCs w:val="28"/>
        </w:rPr>
        <w:t>中央行政事业单位国有资产配置管理办法》解读</w:t>
      </w:r>
    </w:p>
    <w:p>
      <w:pPr>
        <w:tabs>
          <w:tab w:val="left" w:pos="1620"/>
          <w:tab w:val="left" w:pos="1800"/>
        </w:tabs>
        <w:spacing w:line="520" w:lineRule="exact"/>
        <w:ind w:firstLine="561"/>
        <w:jc w:val="left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 w:cs="仿宋_GB2312"/>
          <w:sz w:val="28"/>
          <w:szCs w:val="28"/>
        </w:rPr>
        <w:t>《关于加强行政事业单位固定资产管理的通知》解读</w:t>
      </w:r>
    </w:p>
    <w:p>
      <w:pPr>
        <w:tabs>
          <w:tab w:val="left" w:pos="1620"/>
          <w:tab w:val="left" w:pos="1800"/>
        </w:tabs>
        <w:ind w:firstLine="372" w:firstLineChars="147"/>
        <w:jc w:val="left"/>
        <w:rPr>
          <w:rFonts w:hint="default" w:ascii="仿宋_GB2312" w:hAnsi="Calibri" w:eastAsia="仿宋_GB2312"/>
          <w:b/>
          <w:w w:val="90"/>
          <w:kern w:val="0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/>
          <w:b/>
          <w:w w:val="90"/>
          <w:kern w:val="0"/>
          <w:sz w:val="28"/>
          <w:szCs w:val="28"/>
          <w:lang w:val="en-US" w:eastAsia="zh-CN"/>
        </w:rPr>
        <w:t>2、行政事业单位国有资产管理实务</w:t>
      </w:r>
    </w:p>
    <w:p>
      <w:pPr>
        <w:tabs>
          <w:tab w:val="left" w:pos="1620"/>
          <w:tab w:val="left" w:pos="1800"/>
        </w:tabs>
        <w:spacing w:line="520" w:lineRule="exact"/>
        <w:ind w:firstLine="561"/>
        <w:jc w:val="left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（1）</w:t>
      </w:r>
      <w:r>
        <w:rPr>
          <w:rFonts w:hint="eastAsia" w:ascii="仿宋_GB2312" w:eastAsia="仿宋_GB2312" w:cs="仿宋_GB2312"/>
          <w:sz w:val="28"/>
          <w:szCs w:val="28"/>
        </w:rPr>
        <w:t>行政事业性国有资产管理政策制度体系</w:t>
      </w:r>
    </w:p>
    <w:p>
      <w:pPr>
        <w:tabs>
          <w:tab w:val="left" w:pos="1620"/>
          <w:tab w:val="left" w:pos="1800"/>
        </w:tabs>
        <w:spacing w:line="520" w:lineRule="exact"/>
        <w:ind w:firstLine="561"/>
        <w:jc w:val="left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（2）</w:t>
      </w:r>
      <w:r>
        <w:rPr>
          <w:rFonts w:hint="eastAsia" w:ascii="仿宋_GB2312" w:eastAsia="仿宋_GB2312" w:cs="仿宋_GB2312"/>
          <w:sz w:val="28"/>
          <w:szCs w:val="28"/>
        </w:rPr>
        <w:t>我国加强行政事业性国有资产管理改革背景</w:t>
      </w:r>
    </w:p>
    <w:p>
      <w:pPr>
        <w:tabs>
          <w:tab w:val="left" w:pos="1620"/>
          <w:tab w:val="left" w:pos="1800"/>
        </w:tabs>
        <w:spacing w:line="520" w:lineRule="exact"/>
        <w:ind w:firstLine="561"/>
        <w:jc w:val="left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（3）</w:t>
      </w:r>
      <w:r>
        <w:rPr>
          <w:rFonts w:hint="eastAsia" w:ascii="仿宋_GB2312" w:eastAsia="仿宋_GB2312" w:cs="仿宋_GB2312"/>
          <w:sz w:val="28"/>
          <w:szCs w:val="28"/>
        </w:rPr>
        <w:t>行政事业单位国有资产分类构成与特征</w:t>
      </w:r>
    </w:p>
    <w:p>
      <w:pPr>
        <w:tabs>
          <w:tab w:val="left" w:pos="1620"/>
          <w:tab w:val="left" w:pos="1800"/>
        </w:tabs>
        <w:spacing w:line="520" w:lineRule="exact"/>
        <w:ind w:firstLine="561"/>
        <w:jc w:val="left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（4）</w:t>
      </w:r>
      <w:r>
        <w:rPr>
          <w:rFonts w:hint="eastAsia" w:ascii="仿宋_GB2312" w:eastAsia="仿宋_GB2312" w:cs="仿宋_GB2312"/>
          <w:sz w:val="28"/>
          <w:szCs w:val="28"/>
        </w:rPr>
        <w:t>人大监督视角传统行政事业单位资产管理存在问题</w:t>
      </w:r>
    </w:p>
    <w:p>
      <w:pPr>
        <w:tabs>
          <w:tab w:val="left" w:pos="1620"/>
          <w:tab w:val="left" w:pos="1800"/>
        </w:tabs>
        <w:spacing w:line="520" w:lineRule="exact"/>
        <w:ind w:firstLine="561"/>
        <w:jc w:val="left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（5）</w:t>
      </w:r>
      <w:r>
        <w:rPr>
          <w:rFonts w:hint="eastAsia" w:ascii="仿宋_GB2312" w:eastAsia="仿宋_GB2312" w:cs="仿宋_GB2312"/>
          <w:sz w:val="28"/>
          <w:szCs w:val="28"/>
        </w:rPr>
        <w:t>行政事业单位资产管理目标与体制</w:t>
      </w:r>
    </w:p>
    <w:p>
      <w:pPr>
        <w:tabs>
          <w:tab w:val="left" w:pos="1620"/>
          <w:tab w:val="left" w:pos="1800"/>
        </w:tabs>
        <w:spacing w:line="520" w:lineRule="exact"/>
        <w:ind w:firstLine="561"/>
        <w:jc w:val="left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（6）</w:t>
      </w:r>
      <w:r>
        <w:rPr>
          <w:rFonts w:hint="eastAsia" w:ascii="仿宋_GB2312" w:eastAsia="仿宋_GB2312" w:cs="仿宋_GB2312"/>
          <w:sz w:val="28"/>
          <w:szCs w:val="28"/>
        </w:rPr>
        <w:t>行政事业单位全生命周期资产管理体系</w:t>
      </w:r>
    </w:p>
    <w:p>
      <w:pPr>
        <w:tabs>
          <w:tab w:val="left" w:pos="1620"/>
          <w:tab w:val="left" w:pos="1800"/>
        </w:tabs>
        <w:spacing w:line="520" w:lineRule="exact"/>
        <w:ind w:firstLine="561"/>
        <w:jc w:val="left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（7）</w:t>
      </w:r>
      <w:r>
        <w:rPr>
          <w:rFonts w:hint="eastAsia" w:ascii="仿宋_GB2312" w:eastAsia="仿宋_GB2312" w:cs="仿宋_GB2312"/>
          <w:sz w:val="28"/>
          <w:szCs w:val="28"/>
        </w:rPr>
        <w:t>行政事业单位资产会计核算改革</w:t>
      </w:r>
    </w:p>
    <w:p>
      <w:pPr>
        <w:tabs>
          <w:tab w:val="left" w:pos="1620"/>
          <w:tab w:val="left" w:pos="1800"/>
        </w:tabs>
        <w:spacing w:line="520" w:lineRule="exact"/>
        <w:ind w:firstLine="561"/>
        <w:jc w:val="left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（8）</w:t>
      </w:r>
      <w:r>
        <w:rPr>
          <w:rFonts w:hint="eastAsia" w:ascii="仿宋_GB2312" w:eastAsia="仿宋_GB2312" w:cs="仿宋_GB2312"/>
          <w:sz w:val="28"/>
          <w:szCs w:val="28"/>
        </w:rPr>
        <w:t>行政事业单位资产清查与国有资产报告制度</w:t>
      </w:r>
    </w:p>
    <w:p>
      <w:pPr>
        <w:ind w:firstLine="560" w:firstLineChars="200"/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（9）</w:t>
      </w:r>
      <w:r>
        <w:rPr>
          <w:rFonts w:hint="eastAsia" w:ascii="仿宋_GB2312" w:eastAsia="仿宋_GB2312" w:cs="仿宋_GB2312"/>
          <w:sz w:val="28"/>
          <w:szCs w:val="28"/>
        </w:rPr>
        <w:t>行政事业单位国有资产绩效管理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81C04"/>
    <w:rsid w:val="3888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2022-02-10T05:52:00Z</dcterms:created>
  <dc:creator>桑立强</dc:creator>
  <cp:lastModifiedBy>桑立强</cp:lastModifiedBy>
  <dcterms:modified xsi:type="dcterms:W3CDTF">2022-02-10T05:53:49Z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B9EB798566E74BF19619E7640596EF55</vt:lpwstr>
  </property>
</Properties>
</file>