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left="1" w:leftChars="-178" w:right="-552" w:rightChars="-230" w:hanging="428" w:hangingChars="142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附件</w:t>
      </w:r>
      <w:r>
        <w:rPr>
          <w:rFonts w:ascii="仿宋" w:hAnsi="仿宋" w:eastAsia="仿宋" w:cs="仿宋"/>
          <w:b/>
          <w:bCs/>
          <w:sz w:val="30"/>
          <w:szCs w:val="30"/>
        </w:rPr>
        <w:t>1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：</w:t>
      </w:r>
    </w:p>
    <w:p>
      <w:pPr>
        <w:spacing w:line="420" w:lineRule="exact"/>
        <w:ind w:left="-486" w:leftChars="-203" w:right="-552" w:rightChars="-230" w:hanging="1"/>
        <w:jc w:val="center"/>
        <w:rPr>
          <w:rFonts w:cs="黑体"/>
          <w:b/>
          <w:bCs/>
          <w:kern w:val="10"/>
          <w:sz w:val="32"/>
          <w:szCs w:val="32"/>
        </w:rPr>
      </w:pPr>
      <w:r>
        <w:rPr>
          <w:rFonts w:hint="eastAsia" w:cs="黑体"/>
          <w:b/>
          <w:bCs/>
          <w:kern w:val="10"/>
          <w:sz w:val="32"/>
          <w:szCs w:val="32"/>
        </w:rPr>
        <w:t>研讨培训活动工作方案</w:t>
      </w:r>
    </w:p>
    <w:p>
      <w:pPr>
        <w:spacing w:before="468" w:beforeLines="150" w:line="42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主办单位：中国总会计师协会</w:t>
      </w:r>
    </w:p>
    <w:p>
      <w:pPr>
        <w:spacing w:after="156" w:afterLines="50" w:line="42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承办单位：《中国总会计师》杂志社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一、时间地点</w:t>
      </w:r>
    </w:p>
    <w:p>
      <w:pPr>
        <w:tabs>
          <w:tab w:val="left" w:pos="6560"/>
        </w:tabs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时间：</w:t>
      </w:r>
      <w:r>
        <w:rPr>
          <w:rFonts w:ascii="仿宋" w:hAnsi="仿宋" w:eastAsia="仿宋" w:cs="仿宋"/>
          <w:sz w:val="30"/>
          <w:szCs w:val="30"/>
        </w:rPr>
        <w:t>202</w:t>
      </w:r>
      <w:r>
        <w:rPr>
          <w:rFonts w:hint="eastAsia" w:ascii="仿宋" w:hAnsi="仿宋" w:eastAsia="仿宋" w:cs="仿宋"/>
          <w:sz w:val="30"/>
          <w:szCs w:val="30"/>
        </w:rPr>
        <w:t>1年11月19日</w:t>
      </w:r>
      <w:r>
        <w:rPr>
          <w:rFonts w:ascii="仿宋" w:hAnsi="仿宋" w:eastAsia="仿宋" w:cs="仿宋"/>
          <w:sz w:val="30"/>
          <w:szCs w:val="30"/>
        </w:rPr>
        <w:t>—</w:t>
      </w:r>
      <w:r>
        <w:rPr>
          <w:rFonts w:hint="eastAsia" w:ascii="仿宋" w:hAnsi="仿宋" w:eastAsia="仿宋" w:cs="仿宋"/>
          <w:sz w:val="30"/>
          <w:szCs w:val="30"/>
        </w:rPr>
        <w:t>23日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地点：北京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（具体地址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研讨培训</w:t>
      </w:r>
      <w:r>
        <w:rPr>
          <w:rFonts w:hint="eastAsia" w:ascii="仿宋" w:hAnsi="仿宋" w:eastAsia="仿宋" w:cs="仿宋"/>
          <w:sz w:val="30"/>
          <w:szCs w:val="30"/>
        </w:rPr>
        <w:t>前十天见报到通知）</w:t>
      </w:r>
    </w:p>
    <w:p>
      <w:pPr>
        <w:spacing w:line="120" w:lineRule="exact"/>
        <w:ind w:left="-486" w:leftChars="-203" w:right="-552" w:rightChars="-230" w:hanging="1"/>
        <w:rPr>
          <w:rFonts w:ascii="仿宋_GB2312" w:hAnsi="宋体" w:eastAsia="仿宋_GB2312" w:cs="仿宋"/>
          <w:sz w:val="30"/>
          <w:szCs w:val="30"/>
        </w:rPr>
      </w:pPr>
    </w:p>
    <w:p>
      <w:pPr>
        <w:spacing w:line="440" w:lineRule="exact"/>
        <w:ind w:left="294" w:right="-552" w:rightChars="-230" w:hanging="72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</w:rPr>
        <w:t>二、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参会对象</w:t>
      </w:r>
    </w:p>
    <w:p>
      <w:pPr>
        <w:spacing w:line="440" w:lineRule="exact"/>
        <w:ind w:left="-486" w:leftChars="-203" w:right="-552" w:rightChars="-230" w:hanging="1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机关企事业单位总会计师、财务总监、首席财务官、财务部门负责人；财务和税务经理、主管等；财务共享服务中心相关负责人、信息化负责人、人力资源部负责人；财会、税务、审计人员，投资分析与研究人员等；投资部、证券部相关负责人等；中国总会计师协会会员、会计师事务所</w:t>
      </w:r>
      <w:r>
        <w:rPr>
          <w:rFonts w:ascii="仿宋" w:hAnsi="仿宋" w:eastAsia="仿宋" w:cs="仿宋"/>
          <w:sz w:val="30"/>
          <w:szCs w:val="30"/>
        </w:rPr>
        <w:t>CPA</w:t>
      </w:r>
      <w:r>
        <w:rPr>
          <w:rFonts w:hint="eastAsia" w:ascii="仿宋" w:hAnsi="仿宋" w:eastAsia="仿宋" w:cs="仿宋"/>
          <w:sz w:val="30"/>
          <w:szCs w:val="30"/>
        </w:rPr>
        <w:t>、咨询师；金融行业金融分析师、风险控制师；大中专院校会计专业教师；需要加强会计知识学习和提升的各单位主要负责人等。</w:t>
      </w:r>
    </w:p>
    <w:p>
      <w:pPr>
        <w:spacing w:line="120" w:lineRule="exact"/>
        <w:ind w:left="-486" w:leftChars="-203" w:right="-552" w:rightChars="-230" w:hanging="1"/>
        <w:rPr>
          <w:rFonts w:ascii="仿宋_GB2312" w:hAnsi="宋体" w:eastAsia="仿宋_GB2312" w:cs="仿宋"/>
          <w:sz w:val="30"/>
          <w:szCs w:val="30"/>
        </w:rPr>
      </w:pP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三、研讨内容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b/>
          <w:kern w:val="2"/>
          <w:sz w:val="30"/>
          <w:szCs w:val="30"/>
        </w:rPr>
      </w:pPr>
      <w:r>
        <w:rPr>
          <w:rFonts w:ascii="仿宋" w:hAnsi="仿宋" w:eastAsia="仿宋" w:cs="仿宋"/>
          <w:b/>
          <w:bCs/>
          <w:sz w:val="30"/>
          <w:szCs w:val="30"/>
        </w:rPr>
        <w:t>（一）数字化与财务转型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</w:t>
      </w:r>
      <w:r>
        <w:rPr>
          <w:rFonts w:ascii="仿宋" w:hAnsi="仿宋" w:eastAsia="仿宋" w:cs="仿宋"/>
          <w:sz w:val="30"/>
          <w:szCs w:val="30"/>
        </w:rPr>
        <w:t>数字经济对企业的挑战</w:t>
      </w:r>
      <w:r>
        <w:rPr>
          <w:rFonts w:hint="eastAsia" w:ascii="仿宋" w:hAnsi="仿宋" w:eastAsia="仿宋" w:cs="仿宋"/>
          <w:sz w:val="30"/>
          <w:szCs w:val="30"/>
        </w:rPr>
        <w:t>及</w:t>
      </w:r>
      <w:r>
        <w:rPr>
          <w:rFonts w:ascii="仿宋" w:hAnsi="仿宋" w:eastAsia="仿宋" w:cs="仿宋"/>
          <w:sz w:val="30"/>
          <w:szCs w:val="30"/>
        </w:rPr>
        <w:t>管理思维转变；数字化下的商业模式创新、战略调整、价值链管理与财务管理变革</w:t>
      </w:r>
      <w:r>
        <w:rPr>
          <w:rFonts w:hint="eastAsia" w:ascii="仿宋" w:hAnsi="仿宋" w:eastAsia="仿宋" w:cs="仿宋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大数据思维与企业核心竞争力；大数据应用与财务价值创造；数字化背景下财务能力重构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tabs>
          <w:tab w:val="left" w:pos="4640"/>
        </w:tabs>
        <w:spacing w:line="440" w:lineRule="exact"/>
        <w:ind w:left="-486" w:leftChars="-203" w:right="-552" w:rightChars="-230" w:hanging="1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ascii="仿宋" w:hAnsi="仿宋" w:eastAsia="仿宋" w:cs="仿宋"/>
          <w:b/>
          <w:bCs/>
          <w:sz w:val="30"/>
          <w:szCs w:val="30"/>
        </w:rPr>
        <w:t>（二）财务数字化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运营体系</w:t>
      </w:r>
      <w:r>
        <w:rPr>
          <w:rFonts w:ascii="仿宋" w:hAnsi="仿宋" w:eastAsia="仿宋" w:cs="仿宋"/>
          <w:b/>
          <w:bCs/>
          <w:sz w:val="30"/>
          <w:szCs w:val="30"/>
        </w:rPr>
        <w:t>建设</w:t>
      </w:r>
    </w:p>
    <w:p>
      <w:pPr>
        <w:tabs>
          <w:tab w:val="left" w:pos="4640"/>
        </w:tabs>
        <w:spacing w:line="440" w:lineRule="exact"/>
        <w:ind w:left="-486" w:leftChars="-203" w:right="-552" w:rightChars="-230" w:hanging="1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   </w:t>
      </w:r>
      <w:r>
        <w:rPr>
          <w:rFonts w:ascii="仿宋" w:hAnsi="仿宋" w:eastAsia="仿宋" w:cs="仿宋"/>
          <w:sz w:val="30"/>
          <w:szCs w:val="30"/>
        </w:rPr>
        <w:t>财务数字化整体规划</w:t>
      </w:r>
      <w:r>
        <w:rPr>
          <w:rFonts w:hint="eastAsia" w:ascii="仿宋" w:hAnsi="仿宋" w:eastAsia="仿宋" w:cs="仿宋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财务数字化运营体系建设要点与难点</w:t>
      </w:r>
      <w:r>
        <w:rPr>
          <w:rFonts w:hint="eastAsia" w:ascii="仿宋" w:hAnsi="仿宋" w:eastAsia="仿宋" w:cs="仿宋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财务数字化运营流程</w:t>
      </w:r>
      <w:r>
        <w:rPr>
          <w:rFonts w:hint="eastAsia" w:ascii="仿宋" w:hAnsi="仿宋" w:eastAsia="仿宋" w:cs="仿宋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财务数字化建设典型案例</w:t>
      </w:r>
      <w:r>
        <w:rPr>
          <w:rFonts w:hint="eastAsia" w:ascii="仿宋" w:hAnsi="仿宋" w:eastAsia="仿宋" w:cs="仿宋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数字思维与大数据商业分析工具</w:t>
      </w:r>
      <w:r>
        <w:rPr>
          <w:rFonts w:hint="eastAsia" w:ascii="仿宋" w:hAnsi="仿宋" w:eastAsia="仿宋" w:cs="仿宋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大数据应用与业财融合思维</w:t>
      </w:r>
      <w:r>
        <w:rPr>
          <w:rFonts w:hint="eastAsia" w:ascii="仿宋" w:hAnsi="仿宋" w:eastAsia="仿宋" w:cs="仿宋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大数据应用与智能风控思维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b/>
          <w:sz w:val="30"/>
          <w:szCs w:val="30"/>
        </w:rPr>
      </w:pPr>
      <w:r>
        <w:rPr>
          <w:rFonts w:ascii="仿宋" w:hAnsi="仿宋" w:eastAsia="仿宋" w:cs="仿宋"/>
          <w:b/>
          <w:sz w:val="30"/>
          <w:szCs w:val="30"/>
        </w:rPr>
        <w:t>（</w:t>
      </w:r>
      <w:r>
        <w:rPr>
          <w:rFonts w:hint="eastAsia" w:ascii="仿宋" w:hAnsi="仿宋" w:eastAsia="仿宋" w:cs="仿宋"/>
          <w:b/>
          <w:sz w:val="30"/>
          <w:szCs w:val="30"/>
        </w:rPr>
        <w:t>三</w:t>
      </w:r>
      <w:r>
        <w:rPr>
          <w:rFonts w:ascii="仿宋" w:hAnsi="仿宋" w:eastAsia="仿宋" w:cs="仿宋"/>
          <w:b/>
          <w:sz w:val="30"/>
          <w:szCs w:val="30"/>
        </w:rPr>
        <w:t>）</w:t>
      </w:r>
      <w:r>
        <w:rPr>
          <w:rFonts w:hint="eastAsia" w:ascii="仿宋" w:hAnsi="仿宋" w:eastAsia="仿宋" w:cs="仿宋"/>
          <w:b/>
          <w:sz w:val="30"/>
          <w:szCs w:val="30"/>
        </w:rPr>
        <w:t>数字化背景下的管理会计平台建设</w:t>
      </w:r>
    </w:p>
    <w:p>
      <w:pPr>
        <w:pStyle w:val="5"/>
        <w:spacing w:line="440" w:lineRule="exact"/>
        <w:ind w:left="-425" w:leftChars="-177" w:right="-482" w:rightChars="-201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数字化智能化</w:t>
      </w:r>
      <w:r>
        <w:rPr>
          <w:rFonts w:ascii="仿宋" w:hAnsi="仿宋" w:eastAsia="仿宋" w:cs="仿宋"/>
          <w:color w:val="auto"/>
          <w:sz w:val="30"/>
          <w:szCs w:val="30"/>
        </w:rPr>
        <w:t>管理会计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平台</w:t>
      </w:r>
      <w:r>
        <w:rPr>
          <w:rFonts w:ascii="仿宋" w:hAnsi="仿宋" w:eastAsia="仿宋" w:cs="仿宋"/>
          <w:color w:val="auto"/>
          <w:sz w:val="30"/>
          <w:szCs w:val="30"/>
        </w:rPr>
        <w:t>整体框架与发展趋势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；风险管理与财务智能化；智能化管理会计报告体系；管理会计与数字化转型。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ascii="仿宋" w:hAnsi="仿宋" w:eastAsia="仿宋" w:cs="仿宋"/>
          <w:b/>
          <w:bCs/>
          <w:sz w:val="30"/>
          <w:szCs w:val="30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四</w:t>
      </w:r>
      <w:r>
        <w:rPr>
          <w:rFonts w:ascii="仿宋" w:hAnsi="仿宋" w:eastAsia="仿宋" w:cs="仿宋"/>
          <w:b/>
          <w:bCs/>
          <w:sz w:val="30"/>
          <w:szCs w:val="30"/>
        </w:rPr>
        <w:t>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智能财务共享服务中心建设、运营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财务共享中心的战略结构、战略职能、流程；财务共享中心组织的定位、组织架构变化；财务共享中心人员安排；财务共享中心的地位及主要工作；</w:t>
      </w:r>
      <w:r>
        <w:rPr>
          <w:rFonts w:ascii="仿宋" w:hAnsi="仿宋" w:eastAsia="仿宋" w:cs="仿宋"/>
          <w:sz w:val="30"/>
          <w:szCs w:val="30"/>
        </w:rPr>
        <w:t>IT</w:t>
      </w:r>
      <w:r>
        <w:rPr>
          <w:rFonts w:hint="eastAsia" w:ascii="仿宋" w:hAnsi="仿宋" w:eastAsia="仿宋" w:cs="仿宋"/>
          <w:sz w:val="30"/>
          <w:szCs w:val="30"/>
        </w:rPr>
        <w:t>应用系统的选型。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共享中心在企业管理中的定位；共享中心团队的绩效问题；共享中心人员的职业发展问题；财务共享服务中心运营管理案例分析；集团共享中心的衍生价值；</w:t>
      </w:r>
      <w:r>
        <w:rPr>
          <w:rFonts w:ascii="仿宋" w:hAnsi="仿宋" w:eastAsia="仿宋" w:cs="仿宋"/>
          <w:sz w:val="30"/>
          <w:szCs w:val="30"/>
        </w:rPr>
        <w:t>基于共享的智能报告模式及应用</w:t>
      </w:r>
      <w:r>
        <w:rPr>
          <w:rFonts w:hint="eastAsia" w:ascii="仿宋" w:hAnsi="仿宋" w:eastAsia="仿宋" w:cs="仿宋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财务共享中心数据中台的构建与整合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智能化背景下财务共享服务未来发展趋势；自动化、智能化在财务共享服务中心的应用；财务共享服务典型案例分析。</w:t>
      </w:r>
    </w:p>
    <w:p>
      <w:pPr>
        <w:spacing w:line="440" w:lineRule="exact"/>
        <w:ind w:left="-486" w:leftChars="-203" w:right="-552" w:rightChars="-230" w:hanging="1"/>
        <w:outlineLvl w:val="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（五）</w:t>
      </w:r>
      <w:r>
        <w:rPr>
          <w:rFonts w:hint="eastAsia" w:ascii="仿宋" w:hAnsi="仿宋" w:eastAsia="仿宋" w:cs="仿宋"/>
          <w:b/>
          <w:sz w:val="30"/>
          <w:szCs w:val="30"/>
        </w:rPr>
        <w:t>资金集中管控与数智化时代的大司库建设</w:t>
      </w:r>
    </w:p>
    <w:p>
      <w:pPr>
        <w:spacing w:line="440" w:lineRule="exact"/>
        <w:ind w:left="-487" w:leftChars="-203" w:right="-552" w:rightChars="-230"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企业财资管理信息化发展趋势；司库在集团财务管理中的角色定位；司库运行流程与体系建设；财务共享服务中心如何发挥司库的部分职能；如何提升财资管理数字化水平。</w:t>
      </w:r>
    </w:p>
    <w:p>
      <w:pPr>
        <w:spacing w:line="480" w:lineRule="exact"/>
        <w:ind w:left="-487" w:leftChars="-203" w:right="-552" w:rightChars="-23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（六）资本结构、融资战略及实施</w:t>
      </w:r>
    </w:p>
    <w:p>
      <w:pPr>
        <w:spacing w:line="480" w:lineRule="exact"/>
        <w:ind w:left="-487" w:leftChars="-203" w:right="-552" w:rightChars="-23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资源配置导向的资金计划管理；优化资金存量与融资规模；创新融资渠道与融资策略；提高存量资金回报率。</w:t>
      </w:r>
    </w:p>
    <w:p>
      <w:pPr>
        <w:spacing w:line="480" w:lineRule="exact"/>
        <w:ind w:left="-423" w:leftChars="-235" w:right="-230" w:hanging="141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七</w:t>
      </w:r>
      <w:r>
        <w:rPr>
          <w:rFonts w:hint="eastAsia" w:ascii="仿宋" w:hAnsi="仿宋" w:eastAsia="仿宋" w:cs="仿宋"/>
          <w:b/>
          <w:sz w:val="30"/>
          <w:szCs w:val="30"/>
        </w:rPr>
        <w:t>）资金管理模式创新与实践</w:t>
      </w:r>
    </w:p>
    <w:p>
      <w:pPr>
        <w:pStyle w:val="5"/>
        <w:spacing w:line="480" w:lineRule="exact"/>
        <w:ind w:left="-425" w:leftChars="-177" w:right="-482" w:rightChars="-201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</w:t>
      </w:r>
      <w:r>
        <w:rPr>
          <w:rFonts w:ascii="仿宋" w:hAnsi="仿宋" w:eastAsia="仿宋" w:cs="仿宋"/>
          <w:color w:val="auto"/>
          <w:sz w:val="30"/>
          <w:szCs w:val="30"/>
        </w:rPr>
        <w:t>资金管理的组织形式；营运资本管理策略；资金管理的创新与实践；财务风险与金融风险控制；营运资金评价体系创新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</w:t>
      </w:r>
    </w:p>
    <w:p>
      <w:pPr>
        <w:spacing w:line="480" w:lineRule="exact"/>
        <w:ind w:left="-487" w:leftChars="-203" w:right="-552" w:rightChars="-230"/>
        <w:outlineLvl w:val="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（八）AI+RPA在财务部门的应用</w:t>
      </w:r>
    </w:p>
    <w:p>
      <w:pPr>
        <w:spacing w:line="48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RPA在财务共享中心的应用与价值；RPA与财务管理变革；RPA的选择与实施；RPA应用流程示例；案例分享；AI+RPA的未来发展。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b/>
          <w:kern w:val="2"/>
          <w:sz w:val="30"/>
          <w:szCs w:val="30"/>
        </w:rPr>
      </w:pPr>
      <w:r>
        <w:rPr>
          <w:rFonts w:ascii="仿宋" w:hAnsi="仿宋" w:eastAsia="仿宋" w:cs="仿宋"/>
          <w:b/>
          <w:bCs/>
          <w:sz w:val="30"/>
          <w:szCs w:val="30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九</w:t>
      </w:r>
      <w:r>
        <w:rPr>
          <w:rFonts w:ascii="仿宋" w:hAnsi="仿宋" w:eastAsia="仿宋" w:cs="仿宋"/>
          <w:b/>
          <w:bCs/>
          <w:sz w:val="30"/>
          <w:szCs w:val="30"/>
        </w:rPr>
        <w:t>）数据挖掘技术及应用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</w:t>
      </w:r>
      <w:r>
        <w:rPr>
          <w:rFonts w:ascii="仿宋" w:hAnsi="仿宋" w:eastAsia="仿宋" w:cs="仿宋"/>
          <w:sz w:val="30"/>
          <w:szCs w:val="30"/>
        </w:rPr>
        <w:t>商业数据挖掘实际应用场景</w:t>
      </w:r>
      <w:r>
        <w:rPr>
          <w:rFonts w:hint="eastAsia" w:ascii="仿宋" w:hAnsi="仿宋" w:eastAsia="仿宋" w:cs="仿宋"/>
          <w:b/>
          <w:kern w:val="2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从业务逻辑到数据逻辑的设计</w:t>
      </w:r>
      <w:r>
        <w:rPr>
          <w:rFonts w:hint="eastAsia" w:ascii="仿宋" w:hAnsi="仿宋" w:eastAsia="仿宋" w:cs="仿宋"/>
          <w:b/>
          <w:kern w:val="2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数据库SQL与应用</w:t>
      </w:r>
      <w:r>
        <w:rPr>
          <w:rFonts w:hint="eastAsia" w:ascii="仿宋" w:hAnsi="仿宋" w:eastAsia="仿宋" w:cs="仿宋"/>
          <w:b/>
          <w:kern w:val="2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Python原理与应用</w:t>
      </w:r>
      <w:r>
        <w:rPr>
          <w:rFonts w:hint="eastAsia" w:ascii="仿宋" w:hAnsi="仿宋" w:eastAsia="仿宋" w:cs="仿宋"/>
          <w:b/>
          <w:kern w:val="2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商业数据挖掘与可视化图表及报告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ascii="仿宋" w:hAnsi="仿宋" w:eastAsia="仿宋" w:cs="仿宋"/>
          <w:b/>
          <w:bCs/>
          <w:sz w:val="30"/>
          <w:szCs w:val="30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十</w:t>
      </w:r>
      <w:r>
        <w:rPr>
          <w:rFonts w:ascii="仿宋" w:hAnsi="仿宋" w:eastAsia="仿宋" w:cs="仿宋"/>
          <w:b/>
          <w:bCs/>
          <w:sz w:val="30"/>
          <w:szCs w:val="30"/>
        </w:rPr>
        <w:t>）数据中台的构建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</w:t>
      </w:r>
      <w:r>
        <w:rPr>
          <w:rFonts w:ascii="仿宋" w:hAnsi="仿宋" w:eastAsia="仿宋" w:cs="仿宋"/>
          <w:sz w:val="30"/>
          <w:szCs w:val="30"/>
        </w:rPr>
        <w:t>财务中台及数据中台</w:t>
      </w:r>
      <w:r>
        <w:rPr>
          <w:rFonts w:hint="eastAsia" w:ascii="仿宋" w:hAnsi="仿宋" w:eastAsia="仿宋" w:cs="仿宋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中台与前后台的衔接</w:t>
      </w:r>
      <w:r>
        <w:rPr>
          <w:rFonts w:hint="eastAsia" w:ascii="仿宋" w:hAnsi="仿宋" w:eastAsia="仿宋" w:cs="仿宋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数据中台建设与运营</w:t>
      </w:r>
      <w:r>
        <w:rPr>
          <w:rFonts w:hint="eastAsia" w:ascii="仿宋" w:hAnsi="仿宋" w:eastAsia="仿宋" w:cs="仿宋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财务中台与业务中台的集成融合</w:t>
      </w:r>
      <w:r>
        <w:rPr>
          <w:rFonts w:hint="eastAsia" w:ascii="仿宋" w:hAnsi="仿宋" w:eastAsia="仿宋" w:cs="仿宋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财务中台实施案例</w:t>
      </w:r>
      <w:r>
        <w:rPr>
          <w:rFonts w:hint="eastAsia" w:ascii="仿宋" w:hAnsi="仿宋" w:eastAsia="仿宋" w:cs="仿宋"/>
          <w:sz w:val="30"/>
          <w:szCs w:val="30"/>
        </w:rPr>
        <w:t>；</w:t>
      </w:r>
      <w:r>
        <w:rPr>
          <w:rFonts w:ascii="仿宋" w:hAnsi="仿宋" w:eastAsia="仿宋" w:cs="仿宋"/>
          <w:sz w:val="30"/>
          <w:szCs w:val="30"/>
        </w:rPr>
        <w:t>中台视角的数据资产规划与治理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440" w:lineRule="exact"/>
        <w:ind w:left="-487" w:leftChars="-203" w:right="-552" w:rightChars="-230"/>
        <w:outlineLvl w:val="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（十一）智能财务下能力素质要求与提升</w:t>
      </w:r>
    </w:p>
    <w:p>
      <w:pPr>
        <w:spacing w:line="440" w:lineRule="exact"/>
        <w:ind w:left="-487" w:leftChars="-203" w:right="-552" w:rightChars="-230"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财务组织从核算型转向管理决策型组织；财务人员从核算型人员转向决策支持与执行人员；财务管理如何适应财务体系数字化和智能化。</w:t>
      </w:r>
    </w:p>
    <w:p>
      <w:pPr>
        <w:spacing w:line="440" w:lineRule="exact"/>
        <w:ind w:left="-425" w:leftChars="-177" w:right="-483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（十二）智慧税务与税务合规管理；如何应对专票电子化变革；电子会计档案的政策与实践</w:t>
      </w:r>
    </w:p>
    <w:p>
      <w:pPr>
        <w:spacing w:line="440" w:lineRule="exact"/>
        <w:ind w:left="-425" w:leftChars="-177" w:right="-483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（十三）智慧商旅服务</w:t>
      </w:r>
    </w:p>
    <w:p>
      <w:pPr>
        <w:spacing w:line="440" w:lineRule="exact"/>
        <w:ind w:left="-424" w:leftChars="-177" w:right="-624" w:rightChars="-260" w:hanging="1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（十四）参观知名企业，实务专家面对面答疑解惑</w:t>
      </w:r>
    </w:p>
    <w:p>
      <w:pPr>
        <w:spacing w:line="120" w:lineRule="exact"/>
        <w:ind w:right="-552" w:rightChars="-230"/>
        <w:rPr>
          <w:rFonts w:ascii="仿宋_GB2312" w:hAnsi="宋体" w:eastAsia="仿宋_GB2312" w:cs="仿宋"/>
          <w:sz w:val="30"/>
          <w:szCs w:val="30"/>
        </w:rPr>
      </w:pPr>
    </w:p>
    <w:p>
      <w:pPr>
        <w:snapToGrid w:val="0"/>
        <w:spacing w:line="400" w:lineRule="exact"/>
        <w:ind w:left="-486" w:leftChars="-203" w:right="-552" w:rightChars="-230" w:hanging="1"/>
        <w:rPr>
          <w:rFonts w:ascii="仿宋" w:hAnsi="仿宋" w:eastAsia="仿宋" w:cs="Arial"/>
          <w:b/>
          <w:bCs/>
          <w:sz w:val="30"/>
          <w:szCs w:val="30"/>
        </w:rPr>
      </w:pPr>
      <w:r>
        <w:rPr>
          <w:rFonts w:hint="eastAsia" w:ascii="仿宋" w:hAnsi="仿宋" w:eastAsia="仿宋" w:cs="Arial"/>
          <w:b/>
          <w:bCs/>
          <w:sz w:val="30"/>
          <w:szCs w:val="30"/>
        </w:rPr>
        <w:t>四、师资力量</w:t>
      </w:r>
    </w:p>
    <w:p>
      <w:pPr>
        <w:spacing w:line="440" w:lineRule="exact"/>
        <w:ind w:left="-486" w:leftChars="-203" w:right="-552" w:rightChars="-230" w:hanging="1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 xml:space="preserve"> 由政府机关、学院、企业界等具有深厚理论功底和丰富实践经验的专家与教授组成。</w:t>
      </w:r>
    </w:p>
    <w:p>
      <w:pPr>
        <w:spacing w:line="120" w:lineRule="exact"/>
        <w:ind w:left="-486" w:leftChars="-203" w:right="-552" w:rightChars="-230" w:hanging="1"/>
        <w:rPr>
          <w:rFonts w:ascii="仿宋_GB2312" w:hAnsi="宋体" w:eastAsia="仿宋_GB2312" w:cs="仿宋"/>
          <w:sz w:val="30"/>
          <w:szCs w:val="30"/>
        </w:rPr>
      </w:pPr>
    </w:p>
    <w:p>
      <w:pPr>
        <w:snapToGrid w:val="0"/>
        <w:spacing w:line="400" w:lineRule="exact"/>
        <w:ind w:left="-486" w:leftChars="-203" w:right="-552" w:rightChars="-230" w:hanging="1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五、培训费用</w:t>
      </w:r>
    </w:p>
    <w:p>
      <w:pPr>
        <w:spacing w:line="440" w:lineRule="exact"/>
        <w:ind w:left="-486" w:leftChars="-203" w:right="-552" w:rightChars="-230" w:hanging="1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  收费标准：培训费为2900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元</w:t>
      </w:r>
      <w:r>
        <w:rPr>
          <w:rFonts w:ascii="仿宋" w:hAnsi="仿宋" w:eastAsia="仿宋" w:cs="仿宋"/>
          <w:sz w:val="30"/>
          <w:szCs w:val="30"/>
        </w:rPr>
        <w:t>/</w:t>
      </w:r>
      <w:r>
        <w:rPr>
          <w:rFonts w:hint="eastAsia" w:ascii="仿宋" w:hAnsi="仿宋" w:eastAsia="仿宋" w:cs="仿宋"/>
          <w:sz w:val="30"/>
          <w:szCs w:val="30"/>
        </w:rPr>
        <w:t>人（包括专家授课费、资料费、教学场租设备费等）。住宿和用餐统一安排，费用自理；交通费用自理。</w:t>
      </w:r>
    </w:p>
    <w:p>
      <w:pPr>
        <w:spacing w:line="120" w:lineRule="exact"/>
        <w:ind w:left="-486" w:leftChars="-203" w:right="-552" w:rightChars="-230" w:hanging="1"/>
        <w:rPr>
          <w:rFonts w:ascii="仿宋_GB2312" w:hAnsi="宋体" w:eastAsia="仿宋_GB2312" w:cs="仿宋"/>
          <w:sz w:val="30"/>
          <w:szCs w:val="30"/>
        </w:rPr>
      </w:pPr>
    </w:p>
    <w:p>
      <w:pPr>
        <w:snapToGrid w:val="0"/>
        <w:spacing w:line="400" w:lineRule="exact"/>
        <w:ind w:left="-486" w:leftChars="-203" w:right="-552" w:rightChars="-230" w:hanging="1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六、培训证书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培训班学习期满，完成教学计划规定的全部课程，由中国总会计师协会颁发《培训结业证书》。</w:t>
      </w:r>
    </w:p>
    <w:p>
      <w:pPr>
        <w:spacing w:line="120" w:lineRule="exact"/>
        <w:ind w:left="-486" w:leftChars="-203" w:right="-552" w:rightChars="-230" w:hanging="1"/>
        <w:rPr>
          <w:rFonts w:ascii="仿宋_GB2312" w:hAnsi="宋体" w:eastAsia="仿宋_GB2312" w:cs="仿宋"/>
          <w:sz w:val="30"/>
          <w:szCs w:val="30"/>
        </w:rPr>
      </w:pP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>七、其他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</w:t>
      </w:r>
      <w:r>
        <w:rPr>
          <w:rFonts w:ascii="仿宋" w:hAnsi="仿宋" w:eastAsia="仿宋" w:cs="仿宋"/>
          <w:sz w:val="30"/>
          <w:szCs w:val="30"/>
        </w:rPr>
        <w:t>研讨培训将根据情况安排企业现场参观交流</w:t>
      </w:r>
      <w:r>
        <w:rPr>
          <w:rFonts w:hint="eastAsia" w:ascii="仿宋" w:hAnsi="仿宋" w:eastAsia="仿宋" w:cs="仿宋"/>
          <w:sz w:val="30"/>
          <w:szCs w:val="30"/>
        </w:rPr>
        <w:t>。研讨培训期间，会务组将周密细致地做好各项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防疫防护工作</w:t>
      </w:r>
      <w:r>
        <w:rPr>
          <w:rFonts w:hint="eastAsia" w:ascii="仿宋" w:hAnsi="仿宋" w:eastAsia="仿宋" w:cs="仿宋"/>
          <w:sz w:val="30"/>
          <w:szCs w:val="30"/>
        </w:rPr>
        <w:t>，妥善安排各项措施，并向参会嘉宾赠送一次性口罩等防疫物资。请各企事业单位放心组织参加。</w:t>
      </w:r>
    </w:p>
    <w:p>
      <w:pPr>
        <w:spacing w:line="120" w:lineRule="exact"/>
        <w:ind w:left="-486" w:leftChars="-203" w:right="-552" w:rightChars="-230" w:hanging="1"/>
        <w:rPr>
          <w:rFonts w:ascii="仿宋_GB2312" w:hAnsi="宋体" w:eastAsia="仿宋_GB2312" w:cs="仿宋"/>
          <w:sz w:val="30"/>
          <w:szCs w:val="30"/>
        </w:rPr>
      </w:pPr>
    </w:p>
    <w:p>
      <w:pPr>
        <w:spacing w:line="440" w:lineRule="exact"/>
        <w:ind w:left="-486" w:leftChars="-203" w:right="-552" w:rightChars="-230" w:hanging="1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八、联系方式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联系人：崔老师</w:t>
      </w:r>
      <w:r>
        <w:rPr>
          <w:rFonts w:ascii="仿宋" w:hAnsi="仿宋" w:eastAsia="仿宋" w:cs="仿宋"/>
          <w:sz w:val="30"/>
          <w:szCs w:val="30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>电话／传真：</w:t>
      </w:r>
      <w:r>
        <w:rPr>
          <w:rFonts w:ascii="仿宋" w:hAnsi="仿宋" w:eastAsia="仿宋" w:cs="仿宋"/>
          <w:sz w:val="30"/>
          <w:szCs w:val="30"/>
        </w:rPr>
        <w:t>010-</w:t>
      </w:r>
      <w:r>
        <w:rPr>
          <w:rFonts w:hint="eastAsia" w:ascii="仿宋" w:hAnsi="仿宋" w:eastAsia="仿宋" w:cs="仿宋"/>
          <w:sz w:val="30"/>
          <w:szCs w:val="30"/>
        </w:rPr>
        <w:t>63381767</w:t>
      </w:r>
    </w:p>
    <w:p>
      <w:pPr>
        <w:spacing w:line="440" w:lineRule="exact"/>
        <w:ind w:left="-486" w:leftChars="-203" w:right="-552" w:rightChars="-230" w:hanging="1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微信：cfocui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       </w:t>
      </w:r>
      <w:r>
        <w:rPr>
          <w:rFonts w:hint="eastAsia" w:ascii="仿宋" w:hAnsi="仿宋" w:eastAsia="仿宋" w:cs="仿宋"/>
          <w:sz w:val="30"/>
          <w:szCs w:val="30"/>
        </w:rPr>
        <w:t>邮箱：</w:t>
      </w: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"mailto:cfo@cmcfo.cn"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Style w:val="4"/>
          <w:rFonts w:hint="eastAsia" w:ascii="仿宋" w:hAnsi="仿宋" w:eastAsia="仿宋" w:cs="仿宋"/>
          <w:sz w:val="30"/>
          <w:szCs w:val="30"/>
        </w:rPr>
        <w:t>cfo</w:t>
      </w:r>
      <w:r>
        <w:rPr>
          <w:rStyle w:val="4"/>
          <w:rFonts w:ascii="仿宋" w:hAnsi="仿宋" w:eastAsia="仿宋" w:cs="仿宋"/>
          <w:sz w:val="30"/>
          <w:szCs w:val="30"/>
        </w:rPr>
        <w:t>@</w:t>
      </w:r>
      <w:r>
        <w:rPr>
          <w:rStyle w:val="4"/>
          <w:rFonts w:hint="eastAsia" w:ascii="仿宋" w:hAnsi="仿宋" w:eastAsia="仿宋" w:cs="仿宋"/>
          <w:sz w:val="30"/>
          <w:szCs w:val="30"/>
        </w:rPr>
        <w:t>cmcfo</w:t>
      </w:r>
      <w:r>
        <w:rPr>
          <w:rStyle w:val="4"/>
          <w:rFonts w:ascii="仿宋" w:hAnsi="仿宋" w:eastAsia="仿宋" w:cs="仿宋"/>
          <w:sz w:val="30"/>
          <w:szCs w:val="30"/>
        </w:rPr>
        <w:t>.c</w:t>
      </w:r>
      <w:r>
        <w:rPr>
          <w:rStyle w:val="4"/>
          <w:rFonts w:hint="eastAsia" w:ascii="仿宋" w:hAnsi="仿宋" w:eastAsia="仿宋" w:cs="仿宋"/>
          <w:sz w:val="30"/>
          <w:szCs w:val="30"/>
        </w:rPr>
        <w:t>n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.PingFang SC">
    <w:altName w:val="宋体"/>
    <w:panose1 w:val="020B0400000000000000"/>
    <w:charset w:val="86"/>
    <w:family w:val="swiss"/>
    <w:pitch w:val="default"/>
    <w:sig w:usb0="00000000" w:usb1="00000000" w:usb2="00000017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64091"/>
    <w:rsid w:val="16B6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rFonts w:cs="Times New Roman"/>
      <w:color w:val="0000FF"/>
      <w:u w:val="single"/>
    </w:rPr>
  </w:style>
  <w:style w:type="paragraph" w:customStyle="1" w:styleId="5">
    <w:name w:val="p1"/>
    <w:basedOn w:val="1"/>
    <w:qFormat/>
    <w:uiPriority w:val="0"/>
    <w:rPr>
      <w:rFonts w:ascii=".PingFang SC" w:hAnsi=".PingFang SC" w:eastAsia=".PingFang SC"/>
      <w:color w:val="454545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2021-10-11T05:33:00Z</dcterms:created>
  <dc:creator>桑立强</dc:creator>
  <cp:lastModifiedBy>桑立强</cp:lastModifiedBy>
  <dcterms:modified xsi:type="dcterms:W3CDTF">2021-10-11T05:34:23Z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10D95C5DBB434E6B9D9B3CF9A6F77D7F</vt:lpwstr>
  </property>
</Properties>
</file>