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1" w:leftChars="-178" w:right="-552" w:rightChars="-230" w:hanging="426" w:hangingChars="142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86" w:leftChars="-203" w:right="-552" w:rightChars="-230" w:hanging="1"/>
        <w:jc w:val="center"/>
        <w:rPr>
          <w:rFonts w:cs="黑体"/>
          <w:b/>
          <w:bCs/>
          <w:kern w:val="10"/>
          <w:sz w:val="32"/>
          <w:szCs w:val="32"/>
        </w:rPr>
      </w:pPr>
      <w:r>
        <w:rPr>
          <w:rFonts w:hint="eastAsia" w:cs="黑体"/>
          <w:b/>
          <w:bCs/>
          <w:kern w:val="10"/>
          <w:sz w:val="32"/>
          <w:szCs w:val="32"/>
        </w:rPr>
        <w:t>研讨培训活动工作方案</w:t>
      </w:r>
    </w:p>
    <w:p>
      <w:pPr>
        <w:spacing w:before="468" w:beforeLines="1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sz w:val="30"/>
          <w:szCs w:val="30"/>
        </w:rPr>
        <w:t>专题：财务数字化与智能财税体系建设</w:t>
      </w:r>
    </w:p>
    <w:p>
      <w:pPr>
        <w:tabs>
          <w:tab w:val="left" w:pos="656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</w:rPr>
        <w:t>1年7月16日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20日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地点：深圳市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</w:rPr>
        <w:t>二</w:t>
      </w:r>
      <w:r>
        <w:rPr>
          <w:rFonts w:hint="eastAsia" w:ascii="仿宋_GB2312" w:hAnsi="宋体" w:eastAsia="仿宋_GB2312" w:cs="仿宋"/>
          <w:b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>专题：</w:t>
      </w:r>
      <w:r>
        <w:rPr>
          <w:rFonts w:ascii="仿宋" w:hAnsi="仿宋" w:eastAsia="仿宋" w:cs="仿宋"/>
          <w:b/>
          <w:sz w:val="30"/>
          <w:szCs w:val="30"/>
        </w:rPr>
        <w:t>企业会计准则最新调整与实务应用</w:t>
      </w:r>
    </w:p>
    <w:p>
      <w:pPr>
        <w:tabs>
          <w:tab w:val="left" w:pos="656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</w:rPr>
        <w:t>1年8月10日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14日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地点：沈阳市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（三）专题：财务转型与智能财务共享中心建设运营提升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时间：2021年8月20日—24日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地点：南京市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5"/>
        <w:numPr>
          <w:ilvl w:val="0"/>
          <w:numId w:val="1"/>
        </w:numPr>
        <w:spacing w:line="440" w:lineRule="exact"/>
        <w:ind w:right="-552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机关企事业单位总会计师、财务总监、首席财务官、财务部门负责人；财务和税务经理、主管等；财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三、研讨内容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专题一：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财务数字化与智能财税体系建设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（一）数字化与财务转型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数字经济对企业的挑战</w:t>
      </w:r>
      <w:r>
        <w:rPr>
          <w:rFonts w:hint="eastAsia" w:ascii="仿宋" w:hAnsi="仿宋" w:eastAsia="仿宋" w:cs="仿宋"/>
          <w:sz w:val="30"/>
          <w:szCs w:val="30"/>
        </w:rPr>
        <w:t>及</w:t>
      </w:r>
      <w:r>
        <w:rPr>
          <w:rFonts w:ascii="仿宋" w:hAnsi="仿宋" w:eastAsia="仿宋" w:cs="仿宋"/>
          <w:sz w:val="30"/>
          <w:szCs w:val="30"/>
        </w:rPr>
        <w:t>管理思维转变；数字化下的商业模式创新、战略调整、价值链管理与财务管理变革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大数据思维与企业核心竞争力；大数据应用与财务价值创造；数字化背景下财务能力重构</w:t>
      </w:r>
    </w:p>
    <w:p>
      <w:pPr>
        <w:tabs>
          <w:tab w:val="left" w:pos="464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（二）财务数字化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运营体系</w:t>
      </w:r>
      <w:r>
        <w:rPr>
          <w:rFonts w:ascii="仿宋" w:hAnsi="仿宋" w:eastAsia="仿宋" w:cs="仿宋"/>
          <w:b/>
          <w:bCs/>
          <w:sz w:val="30"/>
          <w:szCs w:val="30"/>
        </w:rPr>
        <w:t>建设</w:t>
      </w:r>
    </w:p>
    <w:p>
      <w:pPr>
        <w:tabs>
          <w:tab w:val="left" w:pos="464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财务数字化整体规划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财务数字化运营体系建设要点与难点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财务数字化运营流程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财务数字化建设典型案例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数字思维与大数据商业分析工具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大数据应用与业财融合思维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大数据应用与智能风控思维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</w:rPr>
        <w:t>三</w:t>
      </w:r>
      <w:r>
        <w:rPr>
          <w:rFonts w:ascii="仿宋" w:hAnsi="仿宋" w:eastAsia="仿宋" w:cs="仿宋"/>
          <w:b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>数字化背景下的管理会计平台建设</w:t>
      </w:r>
    </w:p>
    <w:p>
      <w:pPr>
        <w:pStyle w:val="6"/>
        <w:spacing w:line="440" w:lineRule="exact"/>
        <w:ind w:left="-425" w:leftChars="-177" w:right="-482" w:rightChars="-201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数字化智能化</w:t>
      </w:r>
      <w:r>
        <w:rPr>
          <w:rFonts w:ascii="仿宋" w:hAnsi="仿宋" w:eastAsia="仿宋" w:cs="仿宋"/>
          <w:color w:val="auto"/>
          <w:sz w:val="30"/>
          <w:szCs w:val="30"/>
        </w:rPr>
        <w:t>管理会计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平台</w:t>
      </w:r>
      <w:r>
        <w:rPr>
          <w:rFonts w:ascii="仿宋" w:hAnsi="仿宋" w:eastAsia="仿宋" w:cs="仿宋"/>
          <w:color w:val="auto"/>
          <w:sz w:val="30"/>
          <w:szCs w:val="30"/>
        </w:rPr>
        <w:t>整体框架与发展趋势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；风险管理与财务智能化；智能化管理会计报告体系；管理会计与数字化转型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四</w:t>
      </w:r>
      <w:r>
        <w:rPr>
          <w:rFonts w:ascii="仿宋" w:hAnsi="仿宋" w:eastAsia="仿宋" w:cs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智能财务共享服务中心建设、运营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共享中心在企业管理中的定位；共享中心团队的绩效问题；共享中心人员的职业发展问题；财务共享服务中心的运营管理的案例分析；集团共享中心的衍生价值；</w:t>
      </w:r>
      <w:r>
        <w:rPr>
          <w:rFonts w:ascii="仿宋" w:hAnsi="仿宋" w:eastAsia="仿宋" w:cs="仿宋"/>
          <w:sz w:val="30"/>
          <w:szCs w:val="30"/>
        </w:rPr>
        <w:t>基于共享的智能报告模式及应用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财务共享中心数据中台的构建与整合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智能化背景下财务共享服务未来发展趋势；自动化、智能化在财务共享服务中心的应用；财务共享服务典型案例分析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（五）AI+RPA在财务部门的应用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RPA在财务共享中心的应用与价值；RPA与财务管理变革；RPA的选择与实施；RPA应用流程示例；案例分享；AI+RPA未来发展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六</w:t>
      </w:r>
      <w:r>
        <w:rPr>
          <w:rFonts w:ascii="仿宋" w:hAnsi="仿宋" w:eastAsia="仿宋" w:cs="仿宋"/>
          <w:b/>
          <w:bCs/>
          <w:sz w:val="30"/>
          <w:szCs w:val="30"/>
        </w:rPr>
        <w:t>）数据挖掘技术及应用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商业数据挖掘实际应用场景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从业务逻辑到数据逻辑的设计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数据库SQL与应用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Python原理与应用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商业数据挖掘与可视化图表及报告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七</w:t>
      </w:r>
      <w:r>
        <w:rPr>
          <w:rFonts w:ascii="仿宋" w:hAnsi="仿宋" w:eastAsia="仿宋" w:cs="仿宋"/>
          <w:b/>
          <w:bCs/>
          <w:sz w:val="30"/>
          <w:szCs w:val="30"/>
        </w:rPr>
        <w:t>）数据中台的构建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什么是财务中台及数据中台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中台与前后台的衔接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数据中台建设与运营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财务中台与业务中台的集成融合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财务中台实施案例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中台视角的数据资产规划与治理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Calibri" w:hAnsi="Calibri" w:eastAsia="仿宋" w:cs="Calibri"/>
          <w:b/>
          <w:bCs/>
          <w:sz w:val="30"/>
          <w:szCs w:val="30"/>
        </w:rPr>
        <w:t>八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）区块链技术及应用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“区块链+会计”的发展与前景展望；财务部门的区块链应用；区块链与财务共享中心；区块链与智能财务建设；区块链与供应链金融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（九）</w:t>
      </w:r>
      <w:r>
        <w:rPr>
          <w:rFonts w:hint="eastAsia" w:ascii="仿宋" w:hAnsi="仿宋" w:eastAsia="仿宋" w:cs="仿宋"/>
          <w:b/>
          <w:sz w:val="30"/>
          <w:szCs w:val="30"/>
        </w:rPr>
        <w:t>财资管理数字化建设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企业财资管理信息化发展趋势；如何在数字化时代建设企业司库；财务共享服务中心如何发挥司库的部分职能；司库在集团财务管理中的角色定位；司库运行流程与体系建设；如何提升财资管理数字化水平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（十）智能财务下能力素质要求与提升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财务组织从核算型转向管理决策型组织；财务人员从核算型人才转向决策支持与执行人员；财务管理如何适应财务体系数字化和智能化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（十一）如何应对专票电子化变革、电子会计档案的政策与实践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（十二）参观知名企业，实务专家面对面答疑解惑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24" w:leftChars="-177" w:right="-624" w:rightChars="-260" w:hanging="1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专题二：</w:t>
      </w:r>
      <w:r>
        <w:rPr>
          <w:rFonts w:ascii="仿宋" w:hAnsi="仿宋" w:eastAsia="仿宋" w:cs="仿宋"/>
          <w:b/>
          <w:sz w:val="30"/>
          <w:szCs w:val="30"/>
        </w:rPr>
        <w:t>企业会计准则最新调整与实务应用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（一）收入准则解读与案例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.PingFang SC"/>
          <w:sz w:val="30"/>
          <w:szCs w:val="30"/>
        </w:rPr>
      </w:pPr>
      <w:r>
        <w:rPr>
          <w:rFonts w:hint="eastAsia" w:ascii="仿宋" w:hAnsi="仿宋" w:eastAsia="仿宋" w:cs=".PingFang SC"/>
          <w:sz w:val="30"/>
          <w:szCs w:val="30"/>
        </w:rPr>
        <w:t xml:space="preserve">    </w:t>
      </w:r>
      <w:r>
        <w:rPr>
          <w:rFonts w:ascii="仿宋" w:hAnsi="仿宋" w:eastAsia="仿宋" w:cs=".PingFang SC"/>
          <w:sz w:val="30"/>
          <w:szCs w:val="30"/>
        </w:rPr>
        <w:t>新收入准则修订的背景</w:t>
      </w:r>
      <w:r>
        <w:rPr>
          <w:rStyle w:val="7"/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.PingFang SC"/>
          <w:sz w:val="30"/>
          <w:szCs w:val="30"/>
        </w:rPr>
        <w:t>收入确认和计量的五步法</w:t>
      </w:r>
      <w:r>
        <w:rPr>
          <w:rStyle w:val="7"/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.PingFang SC"/>
          <w:sz w:val="30"/>
          <w:szCs w:val="30"/>
        </w:rPr>
        <w:t>特定交易的会计处理</w:t>
      </w:r>
      <w:r>
        <w:rPr>
          <w:rStyle w:val="7"/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.PingFang SC"/>
          <w:sz w:val="30"/>
          <w:szCs w:val="30"/>
        </w:rPr>
        <w:t>列报和披露</w:t>
      </w:r>
      <w:r>
        <w:rPr>
          <w:rStyle w:val="7"/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.PingFang SC"/>
          <w:sz w:val="30"/>
          <w:szCs w:val="30"/>
        </w:rPr>
        <w:t>新旧收入准则的衔接</w:t>
      </w:r>
      <w:r>
        <w:rPr>
          <w:rStyle w:val="7"/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.PingFang SC"/>
          <w:sz w:val="30"/>
          <w:szCs w:val="30"/>
        </w:rPr>
        <w:t>新收入准则实施后管理决策的调整</w:t>
      </w:r>
    </w:p>
    <w:p>
      <w:pPr>
        <w:spacing w:line="440" w:lineRule="exact"/>
        <w:ind w:left="-424" w:leftChars="-177" w:right="-624" w:rightChars="-260" w:hanging="1"/>
        <w:rPr>
          <w:rFonts w:cs="仿宋"/>
          <w:b/>
          <w:bCs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（二）金融工具准则解读与案例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.PingFang SC"/>
          <w:sz w:val="30"/>
          <w:szCs w:val="30"/>
        </w:rPr>
      </w:pPr>
      <w:r>
        <w:rPr>
          <w:rFonts w:hint="eastAsia" w:ascii="仿宋" w:hAnsi="仿宋" w:eastAsia="仿宋" w:cs=".PingFang SC"/>
          <w:sz w:val="30"/>
          <w:szCs w:val="30"/>
        </w:rPr>
        <w:t xml:space="preserve">    </w:t>
      </w:r>
      <w:r>
        <w:rPr>
          <w:rFonts w:ascii="仿宋" w:hAnsi="仿宋" w:eastAsia="仿宋" w:cs=".PingFang SC"/>
          <w:sz w:val="30"/>
          <w:szCs w:val="30"/>
        </w:rPr>
        <w:t>金融工具确认与计量（</w:t>
      </w:r>
      <w:r>
        <w:rPr>
          <w:rStyle w:val="7"/>
          <w:rFonts w:ascii="仿宋" w:hAnsi="仿宋" w:eastAsia="仿宋"/>
          <w:sz w:val="30"/>
          <w:szCs w:val="30"/>
        </w:rPr>
        <w:t>CAS22</w:t>
      </w:r>
      <w:r>
        <w:rPr>
          <w:rFonts w:ascii="仿宋" w:hAnsi="仿宋" w:eastAsia="仿宋" w:cs=".PingFang SC"/>
          <w:sz w:val="30"/>
          <w:szCs w:val="30"/>
        </w:rPr>
        <w:t>金融工具确认和计量）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金融工具减值（</w:t>
      </w:r>
      <w:r>
        <w:rPr>
          <w:rStyle w:val="7"/>
          <w:rFonts w:ascii="仿宋" w:hAnsi="仿宋" w:eastAsia="仿宋"/>
          <w:sz w:val="30"/>
          <w:szCs w:val="30"/>
        </w:rPr>
        <w:t>CAS22</w:t>
      </w:r>
      <w:r>
        <w:rPr>
          <w:rFonts w:ascii="仿宋" w:hAnsi="仿宋" w:eastAsia="仿宋" w:cs=".PingFang SC"/>
          <w:sz w:val="30"/>
          <w:szCs w:val="30"/>
        </w:rPr>
        <w:t>金融工具确认和计量）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金融负债与权益工具的区分（</w:t>
      </w:r>
      <w:r>
        <w:rPr>
          <w:rStyle w:val="7"/>
          <w:rFonts w:ascii="仿宋" w:hAnsi="仿宋" w:eastAsia="仿宋"/>
          <w:sz w:val="30"/>
          <w:szCs w:val="30"/>
        </w:rPr>
        <w:t>CAS37</w:t>
      </w:r>
      <w:r>
        <w:rPr>
          <w:rFonts w:ascii="仿宋" w:hAnsi="仿宋" w:eastAsia="仿宋" w:cs=".PingFang SC"/>
          <w:sz w:val="30"/>
          <w:szCs w:val="30"/>
        </w:rPr>
        <w:t>金融工具列报）</w:t>
      </w:r>
      <w:r>
        <w:rPr>
          <w:rFonts w:hint="eastAsia" w:ascii="仿宋" w:hAnsi="仿宋" w:eastAsia="仿宋" w:cs=".PingFang SC"/>
          <w:sz w:val="30"/>
          <w:szCs w:val="30"/>
        </w:rPr>
        <w:t>；</w:t>
      </w:r>
      <w:r>
        <w:rPr>
          <w:rStyle w:val="7"/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 w:cs=".PingFang SC"/>
          <w:sz w:val="30"/>
          <w:szCs w:val="30"/>
        </w:rPr>
        <w:t>金融资产转移（</w:t>
      </w:r>
      <w:r>
        <w:rPr>
          <w:rStyle w:val="7"/>
          <w:rFonts w:ascii="仿宋" w:hAnsi="仿宋" w:eastAsia="仿宋"/>
          <w:sz w:val="30"/>
          <w:szCs w:val="30"/>
        </w:rPr>
        <w:t>CAS</w:t>
      </w:r>
      <w:r>
        <w:rPr>
          <w:rFonts w:ascii="仿宋" w:hAnsi="仿宋" w:eastAsia="仿宋" w:cs=".PingFang SC"/>
          <w:sz w:val="30"/>
          <w:szCs w:val="30"/>
        </w:rPr>
        <w:t>金融资产转移）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套期会计（</w:t>
      </w:r>
      <w:r>
        <w:rPr>
          <w:rStyle w:val="7"/>
          <w:rFonts w:ascii="仿宋" w:hAnsi="仿宋" w:eastAsia="仿宋"/>
          <w:sz w:val="30"/>
          <w:szCs w:val="30"/>
        </w:rPr>
        <w:t>CAS24</w:t>
      </w:r>
      <w:r>
        <w:rPr>
          <w:rFonts w:ascii="仿宋" w:hAnsi="仿宋" w:eastAsia="仿宋" w:cs=".PingFang SC"/>
          <w:sz w:val="30"/>
          <w:szCs w:val="30"/>
        </w:rPr>
        <w:t>套期会计）</w:t>
      </w:r>
    </w:p>
    <w:p>
      <w:pPr>
        <w:spacing w:line="440" w:lineRule="exact"/>
        <w:ind w:left="-424" w:leftChars="-177" w:right="-624" w:rightChars="-260" w:hanging="1"/>
        <w:rPr>
          <w:rFonts w:cs="仿宋"/>
          <w:b/>
          <w:bCs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（三）政府补助准则解读与案例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.PingFang SC"/>
          <w:sz w:val="30"/>
          <w:szCs w:val="30"/>
        </w:rPr>
      </w:pPr>
      <w:r>
        <w:rPr>
          <w:rFonts w:hint="eastAsia" w:ascii="仿宋" w:hAnsi="仿宋" w:eastAsia="仿宋" w:cs=".PingFang SC"/>
          <w:sz w:val="30"/>
          <w:szCs w:val="30"/>
        </w:rPr>
        <w:t xml:space="preserve">    </w:t>
      </w:r>
      <w:r>
        <w:rPr>
          <w:rFonts w:ascii="仿宋" w:hAnsi="仿宋" w:eastAsia="仿宋" w:cs=".PingFang SC"/>
          <w:sz w:val="30"/>
          <w:szCs w:val="30"/>
        </w:rPr>
        <w:t>政府补助的范围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政府补助会计处理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财政贴息会计处理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已确认的政府补助需要返还的会计处理</w:t>
      </w:r>
    </w:p>
    <w:p>
      <w:pPr>
        <w:spacing w:line="440" w:lineRule="exact"/>
        <w:ind w:left="-424" w:leftChars="-177" w:right="-624" w:rightChars="-260" w:hanging="1"/>
        <w:rPr>
          <w:rFonts w:cs="仿宋"/>
          <w:b/>
          <w:bCs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（四）持有待售的非流动资产及终止经营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.PingFang SC"/>
          <w:sz w:val="30"/>
          <w:szCs w:val="30"/>
        </w:rPr>
      </w:pPr>
      <w:r>
        <w:rPr>
          <w:rFonts w:hint="eastAsia" w:ascii="仿宋" w:hAnsi="仿宋" w:eastAsia="仿宋" w:cs=".PingFang SC"/>
          <w:sz w:val="30"/>
          <w:szCs w:val="30"/>
        </w:rPr>
        <w:t xml:space="preserve">   </w:t>
      </w:r>
      <w:r>
        <w:rPr>
          <w:rFonts w:ascii="仿宋" w:hAnsi="仿宋" w:eastAsia="仿宋" w:cs=".PingFang SC"/>
          <w:sz w:val="30"/>
          <w:szCs w:val="30"/>
        </w:rPr>
        <w:t>持有待售类别的确认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持有待售类别的计量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终止经营的列报与披露</w:t>
      </w:r>
    </w:p>
    <w:p>
      <w:pPr>
        <w:spacing w:line="440" w:lineRule="exact"/>
        <w:ind w:left="-424" w:leftChars="-177" w:right="-624" w:rightChars="-260" w:hanging="1"/>
        <w:rPr>
          <w:rFonts w:cs="仿宋"/>
          <w:b/>
          <w:bCs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（五）新准则下融资租赁的会计处理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.PingFang SC"/>
          <w:sz w:val="30"/>
          <w:szCs w:val="30"/>
        </w:rPr>
      </w:pPr>
      <w:r>
        <w:rPr>
          <w:rStyle w:val="7"/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ascii="仿宋" w:hAnsi="仿宋" w:eastAsia="仿宋" w:cs=".PingFang SC"/>
          <w:sz w:val="30"/>
          <w:szCs w:val="30"/>
        </w:rPr>
        <w:t>融资租赁概述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融资租赁主要优势及业务流程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承租人的主要会计处理</w:t>
      </w:r>
      <w:r>
        <w:rPr>
          <w:rStyle w:val="7"/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 w:cs=".PingFang SC"/>
          <w:sz w:val="30"/>
          <w:szCs w:val="30"/>
        </w:rPr>
        <w:t>出租人对融资租赁的会计处理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.PingFang SC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（六）债务重组的会计处理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（七）报表格式修订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（八）企业会计准则发展趋势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pacing w:line="420" w:lineRule="exact"/>
        <w:ind w:left="-486" w:leftChars="-203" w:right="-552" w:rightChars="-230" w:hanging="1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42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专题三：财务转型与智能财务共享中心建设运营提升</w:t>
      </w:r>
    </w:p>
    <w:p>
      <w:pPr>
        <w:spacing w:line="42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ascii="仿宋" w:hAnsi="仿宋" w:eastAsia="仿宋" w:cs="仿宋"/>
          <w:b/>
          <w:sz w:val="30"/>
          <w:szCs w:val="30"/>
        </w:rPr>
        <w:t>（一）数字时代下的财务变革与转型</w:t>
      </w:r>
    </w:p>
    <w:p>
      <w:pPr>
        <w:spacing w:line="440" w:lineRule="exact"/>
        <w:ind w:left="-487" w:leftChars="-203" w:right="-552" w:rightChars="-23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人工智能时代发展与时代趋势；财务转型与财务思维创新；财务价值定位与能力框架重塑；财务共享的发展与演化；共享模式下的财务组织变革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（二）智能</w:t>
      </w:r>
      <w:r>
        <w:rPr>
          <w:rFonts w:hint="eastAsia" w:ascii="仿宋" w:hAnsi="仿宋" w:eastAsia="仿宋" w:cs="仿宋"/>
          <w:b/>
          <w:sz w:val="30"/>
          <w:szCs w:val="30"/>
        </w:rPr>
        <w:t>共享中心建设与企业管理转型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转型与组织变革；智能财务时代的财务共享服务概念与发展；共享服务的适用性问题；新一代共享服务建设中的核心要素；信息系统对共享服务的支撑；重新认识共享中心的意义与价值；共享中心本土化的困难与挑战</w:t>
      </w:r>
      <w:r>
        <w:rPr>
          <w:rFonts w:ascii="仿宋" w:hAnsi="仿宋" w:eastAsia="仿宋" w:cs="仿宋"/>
          <w:sz w:val="30"/>
          <w:szCs w:val="30"/>
        </w:rPr>
        <w:t>——</w:t>
      </w:r>
      <w:r>
        <w:rPr>
          <w:rFonts w:hint="eastAsia" w:ascii="仿宋" w:hAnsi="仿宋" w:eastAsia="仿宋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（三）智能化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财务共享服务中心的建设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应用系统的选型；财务共享中心的核心工作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（四）智能化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财务共享服务中心的运营管理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（五）财务共享服务中心如何提升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智能化背景下财务共享服务未来发展趋势；自动化、智能化在财务共享服务中心的应用；财务共享服务典型案例分析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（六）新技术推动下的智能共享模式的应用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基于财务云的财务共享服务实施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一站式商旅服务与报账平台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B2B模式下的财务共享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智能共享及核算流程再造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平台化思维、外包与众包模式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图形识别等技术在财务转型中的应用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基于共享的智能报告模式及应用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（七）AI+RPA在财务共享中心的应用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RPA在财务共享中心的应用与价值；RPA与财务管理变革；RPA的选择与实施；RPA应用流程示例；案例分享；AI+RPA未来发展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财务共享服务中心如何发挥司库的部分职能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资金管理集中化、财务公司与司库管理的关系；财务共享服务中心如何发挥司库的部分职能；司库在企业集团财务管理中的角色定位；司库运行流程与体系建设；如何在现有信息化基础上建设企业司库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（九）区块链与财务共享中心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“区块链+会计”的发展与前景展望；</w:t>
      </w:r>
      <w:r>
        <w:rPr>
          <w:rFonts w:ascii="仿宋" w:hAnsi="仿宋" w:eastAsia="仿宋" w:cs="仿宋"/>
          <w:sz w:val="30"/>
          <w:szCs w:val="30"/>
        </w:rPr>
        <w:t>从业财融合到财务-业务-信息一体化；区块链技术应用；</w:t>
      </w:r>
      <w:r>
        <w:rPr>
          <w:rFonts w:hint="eastAsia" w:ascii="仿宋" w:hAnsi="仿宋" w:eastAsia="仿宋" w:cs="仿宋"/>
          <w:sz w:val="30"/>
          <w:szCs w:val="30"/>
        </w:rPr>
        <w:t>区块链在财务共享中心的应用；</w:t>
      </w:r>
      <w:r>
        <w:rPr>
          <w:rFonts w:ascii="仿宋" w:hAnsi="仿宋" w:eastAsia="仿宋" w:cs="仿宋"/>
          <w:sz w:val="30"/>
          <w:szCs w:val="30"/>
        </w:rPr>
        <w:t>从区块链看未来财务发展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（十）实务专家面对面答疑解惑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四、师资力量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由政府机关、学院、企业界等具有深厚理论功底和丰富实践经验的专家与教授组成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收费标准：每期次培训费均为2900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培训班学习期满，完成教学计划规定的全部课程，由中国总会计师协会颁发《培训结业证书》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七、其他 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研讨培训将根据情况安排企业现场参观交流</w:t>
      </w:r>
      <w:r>
        <w:rPr>
          <w:rFonts w:hint="eastAsia" w:ascii="仿宋" w:hAnsi="仿宋" w:eastAsia="仿宋" w:cs="仿宋"/>
          <w:sz w:val="30"/>
          <w:szCs w:val="30"/>
        </w:rPr>
        <w:t>。研讨培训期间，会务组将周密细致地做好各项防护，妥善安排各项配套措施，并向参会嘉宾赠送一次性口罩等防疫物资。请各企事业单位放心组织参加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八、联系方式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联系人：崔老师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电话／传真：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63381767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微信：cfocui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邮箱：cfo</w:t>
      </w:r>
      <w:r>
        <w:rPr>
          <w:rFonts w:ascii="仿宋" w:hAnsi="仿宋" w:eastAsia="仿宋" w:cs="仿宋"/>
          <w:sz w:val="30"/>
          <w:szCs w:val="30"/>
        </w:rPr>
        <w:t>@</w:t>
      </w:r>
      <w:r>
        <w:rPr>
          <w:rFonts w:hint="eastAsia" w:ascii="仿宋" w:hAnsi="仿宋" w:eastAsia="仿宋" w:cs="仿宋"/>
          <w:sz w:val="30"/>
          <w:szCs w:val="30"/>
        </w:rPr>
        <w:t>cmcfo</w:t>
      </w:r>
      <w:r>
        <w:rPr>
          <w:rFonts w:ascii="仿宋" w:hAnsi="仿宋" w:eastAsia="仿宋" w:cs="仿宋"/>
          <w:sz w:val="30"/>
          <w:szCs w:val="30"/>
        </w:rPr>
        <w:t>.c</w:t>
      </w:r>
      <w:r>
        <w:rPr>
          <w:rFonts w:hint="eastAsia" w:ascii="仿宋" w:hAnsi="仿宋" w:eastAsia="仿宋" w:cs="仿宋"/>
          <w:sz w:val="30"/>
          <w:szCs w:val="30"/>
        </w:rPr>
        <w:t>n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Helvetica Neue">
    <w:altName w:val="Aria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55A92"/>
    <w:multiLevelType w:val="multilevel"/>
    <w:tmpl w:val="4F355A92"/>
    <w:lvl w:ilvl="0" w:tentative="0">
      <w:start w:val="2"/>
      <w:numFmt w:val="japaneseCounting"/>
      <w:lvlText w:val="%1、"/>
      <w:lvlJc w:val="left"/>
      <w:pPr>
        <w:ind w:left="294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34" w:hanging="480"/>
      </w:pPr>
    </w:lvl>
    <w:lvl w:ilvl="2" w:tentative="0">
      <w:start w:val="1"/>
      <w:numFmt w:val="lowerRoman"/>
      <w:lvlText w:val="%3."/>
      <w:lvlJc w:val="right"/>
      <w:pPr>
        <w:ind w:left="1014" w:hanging="480"/>
      </w:pPr>
    </w:lvl>
    <w:lvl w:ilvl="3" w:tentative="0">
      <w:start w:val="1"/>
      <w:numFmt w:val="decimal"/>
      <w:lvlText w:val="%4."/>
      <w:lvlJc w:val="left"/>
      <w:pPr>
        <w:ind w:left="1494" w:hanging="480"/>
      </w:pPr>
    </w:lvl>
    <w:lvl w:ilvl="4" w:tentative="0">
      <w:start w:val="1"/>
      <w:numFmt w:val="lowerLetter"/>
      <w:lvlText w:val="%5)"/>
      <w:lvlJc w:val="left"/>
      <w:pPr>
        <w:ind w:left="1974" w:hanging="480"/>
      </w:pPr>
    </w:lvl>
    <w:lvl w:ilvl="5" w:tentative="0">
      <w:start w:val="1"/>
      <w:numFmt w:val="lowerRoman"/>
      <w:lvlText w:val="%6."/>
      <w:lvlJc w:val="right"/>
      <w:pPr>
        <w:ind w:left="2454" w:hanging="480"/>
      </w:pPr>
    </w:lvl>
    <w:lvl w:ilvl="6" w:tentative="0">
      <w:start w:val="1"/>
      <w:numFmt w:val="decimal"/>
      <w:lvlText w:val="%7."/>
      <w:lvlJc w:val="left"/>
      <w:pPr>
        <w:ind w:left="2934" w:hanging="480"/>
      </w:pPr>
    </w:lvl>
    <w:lvl w:ilvl="7" w:tentative="0">
      <w:start w:val="1"/>
      <w:numFmt w:val="lowerLetter"/>
      <w:lvlText w:val="%8)"/>
      <w:lvlJc w:val="left"/>
      <w:pPr>
        <w:ind w:left="3414" w:hanging="480"/>
      </w:pPr>
    </w:lvl>
    <w:lvl w:ilvl="8" w:tentative="0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1ED7"/>
    <w:rsid w:val="52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widowControl w:val="0"/>
      <w:ind w:firstLine="420" w:firstLineChars="200"/>
      <w:jc w:val="both"/>
    </w:pPr>
    <w:rPr>
      <w:kern w:val="2"/>
      <w:sz w:val="21"/>
      <w:szCs w:val="22"/>
    </w:rPr>
  </w:style>
  <w:style w:type="paragraph" w:customStyle="1" w:styleId="6">
    <w:name w:val="p1"/>
    <w:basedOn w:val="1"/>
    <w:qFormat/>
    <w:uiPriority w:val="0"/>
    <w:rPr>
      <w:rFonts w:ascii=".PingFang SC" w:hAnsi=".PingFang SC" w:eastAsia=".PingFang SC"/>
      <w:color w:val="454545"/>
      <w:sz w:val="18"/>
      <w:szCs w:val="18"/>
    </w:rPr>
  </w:style>
  <w:style w:type="character" w:customStyle="1" w:styleId="7">
    <w:name w:val="s1"/>
    <w:basedOn w:val="4"/>
    <w:qFormat/>
    <w:uiPriority w:val="0"/>
    <w:rPr>
      <w:rFonts w:hint="default" w:ascii="Helvetica Neue" w:hAnsi="Helvetica Neu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2021-05-17T06:40:00Z</dcterms:created>
  <dc:creator>桑立强</dc:creator>
  <cp:lastModifiedBy>桑立强</cp:lastModifiedBy>
  <dcterms:modified xsi:type="dcterms:W3CDTF">2021-05-17T06:42:14Z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63D12614453C49388913D89EF2F462BF</vt:lpwstr>
  </property>
</Properties>
</file>