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新《金融企业财务规则》全面解读培训班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工作方案</w:t>
      </w:r>
    </w:p>
    <w:p>
      <w:pPr>
        <w:spacing w:line="56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主管主办单位：中国总会计师协会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委托承办单位：北京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</w:p>
    <w:p>
      <w:pPr>
        <w:spacing w:line="560" w:lineRule="exact"/>
        <w:ind w:left="400" w:leftChars="200" w:firstLine="151" w:firstLineChars="5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一、培训时间、地点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第1期  2021年6月18日—21日（18日报到）  厦门市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第2期  2021年7月16日—19日（16日报到）  贵阳市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第3期  2021年8月13日—16日（13日报到）  大连市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第4期  2021年9月10日—13日（10日报到）  杭州市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第5期  2021年10月15日—18日（15日报到） 成都市 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第6期  2021年11月12日—15日（12日报到） 上海市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第7期  2021年12月3日—6日（3日报到）    三亚市</w:t>
      </w:r>
    </w:p>
    <w:p>
      <w:pPr>
        <w:spacing w:line="56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二、培训师资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财政部、中国银保监会相关专家，著名银行业金融机构中实战经验丰富的总会计师、首席财务官等，中国财政科学研究院、国家会计学院、知名财经高等院校，四大会计师事务所的权威专家和全国会计领军人才等。</w:t>
      </w:r>
    </w:p>
    <w:p>
      <w:pPr>
        <w:spacing w:line="56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三、参训对象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(一)各商业银行总行、分行高管，财务、会计、信息技术、风险管理、审计等部门负责人及业务骨干；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（二）各保险公司、证券公司、信托公司、财务公司、金融资产管理公司、金融租赁公司、基金管理公司、汽车金融公司等金融企业高管，财务部门负责人及业务骨干；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(三)教育科研单位专家、学者；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(四)行业组织相关业务负责人。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四、培训课程</w:t>
      </w:r>
    </w:p>
    <w:p>
      <w:pPr>
        <w:adjustRightInd w:val="0"/>
        <w:snapToGrid w:val="0"/>
        <w:spacing w:line="476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模块一：新《金融企业财务规则》的出台背景和重大意义</w:t>
      </w:r>
    </w:p>
    <w:p>
      <w:pPr>
        <w:adjustRightInd w:val="0"/>
        <w:snapToGrid w:val="0"/>
        <w:spacing w:line="476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模块二：新《金融企业财务规则》的新特点</w:t>
      </w:r>
    </w:p>
    <w:p>
      <w:pPr>
        <w:adjustRightInd w:val="0"/>
        <w:snapToGrid w:val="0"/>
        <w:spacing w:line="476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模块三：</w:t>
      </w:r>
      <w:bookmarkStart w:id="0" w:name="_Hlk63536974"/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新《金融企业财务规则》总则解读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新《规则》的适用范围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金融企业财务管理遵循的原则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金融企业财务管理遵循的基本要求</w:t>
      </w:r>
    </w:p>
    <w:p>
      <w:pPr>
        <w:adjustRightInd w:val="0"/>
        <w:snapToGrid w:val="0"/>
        <w:spacing w:line="476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模块四：新《金融企业财务规则》新规解读</w:t>
      </w:r>
      <w:bookmarkEnd w:id="0"/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bookmarkStart w:id="1" w:name="_Hlk63545226"/>
      <w:bookmarkStart w:id="2" w:name="_Hlk63537045"/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bookmarkEnd w:id="1"/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预算管理</w:t>
      </w:r>
    </w:p>
    <w:p>
      <w:pPr>
        <w:adjustRightInd w:val="0"/>
        <w:snapToGrid w:val="0"/>
        <w:spacing w:line="476" w:lineRule="exact"/>
        <w:ind w:firstLine="900" w:firstLineChars="3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全面预算管理、预算制度、预算编制与执行、预算调整等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资本金管理</w:t>
      </w:r>
    </w:p>
    <w:p>
      <w:pPr>
        <w:adjustRightInd w:val="0"/>
        <w:snapToGrid w:val="0"/>
        <w:spacing w:line="476" w:lineRule="exact"/>
        <w:ind w:firstLine="900" w:firstLineChars="3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出资来源、出资形式、股权质押、特殊投资者、员工持股计划、管理层杠杆收购等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投资管理</w:t>
      </w:r>
    </w:p>
    <w:p>
      <w:pPr>
        <w:adjustRightInd w:val="0"/>
        <w:snapToGrid w:val="0"/>
        <w:spacing w:line="476" w:lineRule="exact"/>
        <w:ind w:firstLine="900" w:firstLineChars="3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投资资金形式、资金运用范围、股权投资、产融结合、穿透审查、委托投资、投资方式规范等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考核与评价</w:t>
      </w:r>
    </w:p>
    <w:p>
      <w:pPr>
        <w:adjustRightInd w:val="0"/>
        <w:snapToGrid w:val="0"/>
        <w:spacing w:line="476" w:lineRule="exact"/>
        <w:ind w:firstLine="900" w:firstLineChars="3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实施方式、工作基础、内部管理要求、境外业务评价、结果应用等</w:t>
      </w:r>
    </w:p>
    <w:p>
      <w:pPr>
        <w:adjustRightInd w:val="0"/>
        <w:snapToGrid w:val="0"/>
        <w:spacing w:line="476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模块五：新《金融企业财务规则》主要调整内容解读</w:t>
      </w:r>
    </w:p>
    <w:bookmarkEnd w:id="2"/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筹资管理</w:t>
      </w:r>
    </w:p>
    <w:p>
      <w:pPr>
        <w:adjustRightInd w:val="0"/>
        <w:snapToGrid w:val="0"/>
        <w:spacing w:line="476" w:lineRule="exact"/>
        <w:ind w:firstLine="900" w:firstLineChars="3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筹资方式、筹资结构、筹后管理、同业融资、境外筹资等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资产运营</w:t>
      </w:r>
    </w:p>
    <w:p>
      <w:pPr>
        <w:adjustRightInd w:val="0"/>
        <w:snapToGrid w:val="0"/>
        <w:spacing w:line="476" w:lineRule="exact"/>
        <w:ind w:firstLine="900" w:firstLineChars="3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固定资产管理、资产抵质押、资产损失处理等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风险管理</w:t>
      </w:r>
    </w:p>
    <w:p>
      <w:pPr>
        <w:adjustRightInd w:val="0"/>
        <w:snapToGrid w:val="0"/>
        <w:spacing w:line="476" w:lineRule="exact"/>
        <w:ind w:firstLine="900" w:firstLineChars="3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风险缓释、准备金、资本缓冲、关联交易等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color w:val="000000"/>
          <w:sz w:val="30"/>
          <w:szCs w:val="30"/>
        </w:rPr>
        <w:t>收入、成本和费用</w:t>
      </w:r>
    </w:p>
    <w:p>
      <w:pPr>
        <w:adjustRightInd w:val="0"/>
        <w:snapToGrid w:val="0"/>
        <w:spacing w:line="476" w:lineRule="exact"/>
        <w:ind w:firstLine="900" w:firstLineChars="3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总体核算要求、收入管理、费用管理等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color w:val="000000"/>
          <w:sz w:val="30"/>
          <w:szCs w:val="30"/>
        </w:rPr>
        <w:t>利润分配</w:t>
      </w:r>
    </w:p>
    <w:p>
      <w:pPr>
        <w:adjustRightInd w:val="0"/>
        <w:snapToGrid w:val="0"/>
        <w:spacing w:line="476" w:lineRule="exact"/>
        <w:ind w:firstLine="900" w:firstLineChars="3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股金和现金分红、公积金、弥补亏损等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color w:val="000000"/>
          <w:sz w:val="30"/>
          <w:szCs w:val="30"/>
        </w:rPr>
        <w:t>财务信息</w:t>
      </w:r>
    </w:p>
    <w:p>
      <w:pPr>
        <w:adjustRightInd w:val="0"/>
        <w:snapToGrid w:val="0"/>
        <w:spacing w:line="476" w:lineRule="exact"/>
        <w:ind w:firstLine="900" w:firstLineChars="3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数据质量与数据治理、财务风险分析等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color w:val="000000"/>
          <w:sz w:val="30"/>
          <w:szCs w:val="30"/>
        </w:rPr>
        <w:t>改制、重组和清算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要求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处罚规定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五、培训证书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培训班学习期满，颁发中国总会计师协会《培训结业证书》。  </w:t>
      </w:r>
    </w:p>
    <w:p>
      <w:pPr>
        <w:spacing w:line="600" w:lineRule="exact"/>
        <w:ind w:firstLine="602" w:firstLineChars="200"/>
        <w:rPr>
          <w:rFonts w:ascii="仿宋" w:hAnsi="仿宋" w:eastAsia="仿宋" w:cs="仿宋_GB2312"/>
          <w:b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sz w:val="30"/>
          <w:szCs w:val="30"/>
        </w:rPr>
        <w:t>收费标准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2980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60" w:lineRule="exact"/>
        <w:ind w:firstLine="599" w:firstLineChars="199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(一)培训班相关信息和报名表格请见中国总会计师协会网</w:t>
      </w:r>
      <w:bookmarkStart w:id="3" w:name="_GoBack"/>
      <w:bookmarkEnd w:id="3"/>
      <w:r>
        <w:rPr>
          <w:rFonts w:hint="eastAsia" w:ascii="仿宋" w:hAnsi="仿宋" w:eastAsia="仿宋"/>
          <w:color w:val="000000"/>
          <w:sz w:val="30"/>
          <w:szCs w:val="30"/>
        </w:rPr>
        <w:t>站（http://www.cacfo.com/）培训工作专栏；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(二) 参训学员填写报名回执, 加盖公章，务必于培训班开始前一周发邮件至会务组。收到回执后,会务组将回信确认报名成功。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(三)咨询电话：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010-52262775   52262788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13699282832（微信同号）  88191815（中总协培训部）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560" w:lineRule="exact"/>
        <w:ind w:firstLine="597" w:firstLineChars="199"/>
        <w:jc w:val="both"/>
        <w:rPr>
          <w:rFonts w:hint="eastAsia" w:ascii="仿宋_GB2312" w:eastAsia="仿宋"/>
          <w:color w:val="000000"/>
          <w:sz w:val="30"/>
          <w:szCs w:val="30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联 系 人：徐黎明  周正  谢祥龙  桑立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  <w:lang w:val="en-US" w:eastAsia="zh-CN"/>
        </w:rPr>
        <w:t>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A014E"/>
    <w:rsid w:val="045A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2021-05-10T05:51:00Z</dcterms:created>
  <dc:creator>桑立强</dc:creator>
  <cp:lastModifiedBy>桑立强</cp:lastModifiedBy>
  <dcterms:modified xsi:type="dcterms:W3CDTF">2021-05-10T05:54:11Z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AA9EC905EB35477DB9C0124315E0E259</vt:lpwstr>
  </property>
</Properties>
</file>