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C053" w14:textId="77777777" w:rsidR="00F6139D" w:rsidRPr="005310FA" w:rsidRDefault="00F6139D" w:rsidP="00F6139D">
      <w:pPr>
        <w:wordWrap w:val="0"/>
        <w:spacing w:line="380" w:lineRule="exac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附件2：</w:t>
      </w:r>
    </w:p>
    <w:p w14:paraId="489BAC22" w14:textId="77777777" w:rsidR="005D5815" w:rsidRDefault="00F6139D" w:rsidP="00F6139D">
      <w:pPr>
        <w:snapToGrid w:val="0"/>
        <w:spacing w:before="220" w:after="220" w:line="500" w:lineRule="exact"/>
        <w:ind w:right="640"/>
        <w:jc w:val="center"/>
        <w:rPr>
          <w:rFonts w:ascii="黑体" w:eastAsia="黑体" w:hAnsi="黑体" w:cs="宋体"/>
          <w:b/>
          <w:color w:val="000000"/>
          <w:spacing w:val="-20"/>
          <w:kern w:val="0"/>
          <w:sz w:val="32"/>
          <w:szCs w:val="32"/>
        </w:rPr>
      </w:pPr>
      <w:r w:rsidRPr="005310FA">
        <w:rPr>
          <w:rFonts w:ascii="黑体" w:eastAsia="黑体" w:hAnsi="黑体" w:cs="宋体" w:hint="eastAsia"/>
          <w:b/>
          <w:color w:val="000000"/>
          <w:spacing w:val="-20"/>
          <w:kern w:val="0"/>
          <w:sz w:val="32"/>
          <w:szCs w:val="32"/>
        </w:rPr>
        <w:t>新时代财务管理人员实务操作与素质提升系列培训班</w:t>
      </w:r>
    </w:p>
    <w:p w14:paraId="3D28ADAC" w14:textId="576E96CA" w:rsidR="00F6139D" w:rsidRPr="005310FA" w:rsidRDefault="00F6139D" w:rsidP="00F6139D">
      <w:pPr>
        <w:snapToGrid w:val="0"/>
        <w:spacing w:before="220" w:after="220" w:line="500" w:lineRule="exact"/>
        <w:ind w:right="640"/>
        <w:jc w:val="center"/>
        <w:rPr>
          <w:rFonts w:ascii="黑体" w:eastAsia="黑体" w:hAnsi="黑体" w:cs="宋体"/>
          <w:b/>
          <w:color w:val="000000"/>
          <w:spacing w:val="-20"/>
          <w:kern w:val="0"/>
          <w:sz w:val="32"/>
          <w:szCs w:val="32"/>
        </w:rPr>
      </w:pPr>
      <w:r w:rsidRPr="005310FA">
        <w:rPr>
          <w:rFonts w:ascii="黑体" w:eastAsia="黑体" w:hAnsi="黑体" w:cs="宋体" w:hint="eastAsia"/>
          <w:b/>
          <w:color w:val="000000"/>
          <w:spacing w:val="-20"/>
          <w:kern w:val="0"/>
          <w:sz w:val="32"/>
          <w:szCs w:val="32"/>
        </w:rPr>
        <w:t>专题介绍</w:t>
      </w:r>
    </w:p>
    <w:p w14:paraId="5C9B6923" w14:textId="77777777" w:rsidR="00F6139D" w:rsidRPr="005310FA" w:rsidRDefault="00F6139D" w:rsidP="00F6139D">
      <w:pPr>
        <w:widowControl/>
        <w:spacing w:beforeLines="100" w:before="312"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专题一：成本分析与管理决策</w:t>
      </w:r>
    </w:p>
    <w:p w14:paraId="511D52C2" w14:textId="77777777" w:rsidR="00F6139D" w:rsidRPr="005310FA" w:rsidRDefault="00F6139D" w:rsidP="00F6139D">
      <w:pPr>
        <w:widowControl/>
        <w:numPr>
          <w:ilvl w:val="0"/>
          <w:numId w:val="1"/>
        </w:numPr>
        <w:spacing w:before="120" w:after="12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6CFCBDA8"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企业要适应瞬息万变的外部市场环境，取得持续性的竞争优势，企业就必须把重点放到制订竞争战略上来，而传统的成本管理却经常把眼光局限在单纯降低成本上。传统的成本会计不能如实反馈真实情况，会导致决策错误。因为传统成本会计的衡量标准不正确，就会导致决策不正确，进而导致公司的行动不正确，最终导致公司赔钱。制约理论的创始人高德拉特博士曾提到：“告诉我你如何考核我，我就告诉你我将如何行动。如果你的考核不理性的话，那么我的行为很疯狂也没有什么好奇怪的。从常识出发，本课程引入了以产出为导向的制约理论和有效产出会计（TOC/TA），将有助于学员站在更高的立足点上于把握现代管理会计思想内核，启迪管理决策的新思路。</w:t>
      </w:r>
    </w:p>
    <w:p w14:paraId="3704C66D"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sz w:val="28"/>
          <w:szCs w:val="28"/>
        </w:rPr>
        <w:t>（二）课程内容：</w:t>
      </w:r>
    </w:p>
    <w:p w14:paraId="4D3D08C2"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 xml:space="preserve">战略成本管理概况及案例应用 </w:t>
      </w:r>
    </w:p>
    <w:p w14:paraId="3985C70E"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业财融合思维下的管理会计架构设计</w:t>
      </w:r>
    </w:p>
    <w:p w14:paraId="5C322FFD"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 xml:space="preserve">管理会计体系的构成 </w:t>
      </w:r>
    </w:p>
    <w:p w14:paraId="0C67D6D4"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供应链成本管理</w:t>
      </w:r>
    </w:p>
    <w:p w14:paraId="06A9354C"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约束理论与有效产出会计</w:t>
      </w:r>
    </w:p>
    <w:p w14:paraId="246E5384" w14:textId="77777777" w:rsidR="00F6139D" w:rsidRPr="005310FA" w:rsidRDefault="00F6139D" w:rsidP="00F6139D">
      <w:pPr>
        <w:widowControl/>
        <w:spacing w:before="120" w:after="120" w:line="380" w:lineRule="exact"/>
        <w:jc w:val="left"/>
        <w:rPr>
          <w:rFonts w:ascii="仿宋_GB2312" w:eastAsia="仿宋_GB2312" w:hAnsi="宋体" w:cs="宋体"/>
          <w:bCs/>
          <w:spacing w:val="8"/>
          <w:kern w:val="1"/>
          <w:sz w:val="28"/>
          <w:szCs w:val="28"/>
        </w:rPr>
      </w:pPr>
    </w:p>
    <w:p w14:paraId="3786BD8E" w14:textId="77777777" w:rsidR="00F6139D" w:rsidRPr="005310FA" w:rsidRDefault="00F6139D" w:rsidP="00F6139D">
      <w:pPr>
        <w:widowControl/>
        <w:spacing w:beforeLines="100" w:before="312" w:after="160" w:line="36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专题二：财务分析与会计准则最新调整及所得税汇算清缴</w:t>
      </w:r>
    </w:p>
    <w:p w14:paraId="4722B8D1" w14:textId="77777777" w:rsidR="00F6139D" w:rsidRPr="005310FA" w:rsidRDefault="00F6139D" w:rsidP="00F6139D">
      <w:pPr>
        <w:widowControl/>
        <w:spacing w:before="160" w:after="160" w:line="360" w:lineRule="exact"/>
        <w:ind w:firstLineChars="100" w:firstLine="297"/>
        <w:jc w:val="left"/>
        <w:rPr>
          <w:rFonts w:ascii="仿宋_GB2312" w:eastAsia="仿宋_GB2312" w:hAnsi="宋体" w:cs="宋体"/>
          <w:bCs/>
          <w:spacing w:val="8"/>
          <w:sz w:val="28"/>
          <w:szCs w:val="28"/>
        </w:rPr>
      </w:pPr>
      <w:r w:rsidRPr="005310FA">
        <w:rPr>
          <w:rFonts w:ascii="仿宋_GB2312" w:eastAsia="仿宋_GB2312" w:hAnsi="宋体" w:cs="宋体" w:hint="eastAsia"/>
          <w:b/>
          <w:spacing w:val="8"/>
          <w:sz w:val="28"/>
          <w:szCs w:val="28"/>
        </w:rPr>
        <w:t>（一）专题介绍：</w:t>
      </w:r>
    </w:p>
    <w:p w14:paraId="1A1907AA" w14:textId="77777777" w:rsidR="00F6139D" w:rsidRPr="005310FA" w:rsidRDefault="00F6139D" w:rsidP="00F6139D">
      <w:pPr>
        <w:widowControl/>
        <w:spacing w:before="120" w:after="120" w:line="36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随着我国企业会计准则与国际财务报告准则的持续趋同，企业会计准则和财务报表格式都发生了重大变化。2017-2019年财政部发布了新修订的收入准则、金融工具系列准则、政府补助准则、持有待售的非流动资产、处置组和终止经营准则的应用指</w:t>
      </w:r>
      <w:r w:rsidRPr="005310FA">
        <w:rPr>
          <w:rFonts w:ascii="仿宋_GB2312" w:eastAsia="仿宋_GB2312" w:hAnsi="宋体" w:cs="宋体" w:hint="eastAsia"/>
          <w:bCs/>
          <w:spacing w:val="8"/>
          <w:sz w:val="28"/>
          <w:szCs w:val="28"/>
        </w:rPr>
        <w:lastRenderedPageBreak/>
        <w:t>南，为这些新修订的准则如何实务操作提供了明确的指引，将新修订和新发布的企业会计准则的应用指南和案例进行详细解读，并结合具体实施情况分析新准则的实施影响和实务操作，帮助财务人员深入理解企业会计准则的新变化，从而更好地做出会计处理和职业判断。</w:t>
      </w:r>
    </w:p>
    <w:p w14:paraId="4D47C126" w14:textId="77777777" w:rsidR="00F6139D" w:rsidRPr="005310FA" w:rsidRDefault="00F6139D" w:rsidP="00F6139D">
      <w:pPr>
        <w:widowControl/>
        <w:spacing w:before="120" w:after="120" w:line="36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汇算清缴是指纳税人在纳税年度终了后规定时期内，依照税收法律、法规、规章及其他有关企业所得税的规定，自行计算全年应纳税所得额和应纳所得税额，根据月度或季度预缴的所得税数额，确定该年度应补或者应退税额，并填写年度企业所得税纳税申报表，向主管税务机关办理年度企业所得税纳税申报、提供税务机关要求提供的有关资料、结清全年企业所得税税款的行为。</w:t>
      </w:r>
    </w:p>
    <w:p w14:paraId="54C9B814" w14:textId="77777777" w:rsidR="00F6139D" w:rsidRPr="005310FA" w:rsidRDefault="00F6139D" w:rsidP="00F6139D">
      <w:pPr>
        <w:widowControl/>
        <w:spacing w:before="120" w:after="120" w:line="36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报表分析是财务人员必做功课，除了递交给管理层和总部的年度财务报告，还要看不少供应商或经销商的财务报表，分析年度经营情况。但是，做报表分析常常突破不了就数字论数字的局限性，怎样从报表中看出更多的信息和内涵，从中解读企业经营中的问题？本专题就将为财务解读财务报表分析与会计准则的基本思路和分析。</w:t>
      </w:r>
    </w:p>
    <w:p w14:paraId="59A7B8F9" w14:textId="77777777" w:rsidR="00F6139D" w:rsidRPr="005310FA" w:rsidRDefault="00F6139D" w:rsidP="00F6139D">
      <w:pPr>
        <w:widowControl/>
        <w:spacing w:before="160" w:after="160" w:line="36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126FFCE8"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资产负债表分析</w:t>
      </w:r>
    </w:p>
    <w:p w14:paraId="6D45F897"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利润表分析</w:t>
      </w:r>
    </w:p>
    <w:p w14:paraId="305EAE6B" w14:textId="68F909B9"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现金流量表分析</w:t>
      </w:r>
    </w:p>
    <w:p w14:paraId="3B561890"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财务报告撰写</w:t>
      </w:r>
    </w:p>
    <w:p w14:paraId="70F9100C"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最新会计准则政策解读与案例分析</w:t>
      </w:r>
    </w:p>
    <w:p w14:paraId="1DE97DFE"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最新会计准则改革与财务工作的启发</w:t>
      </w:r>
    </w:p>
    <w:p w14:paraId="219346D4"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税务检查应对及争议解决策略</w:t>
      </w:r>
    </w:p>
    <w:p w14:paraId="2A10E66B" w14:textId="77777777" w:rsidR="00F6139D" w:rsidRPr="005310FA" w:rsidRDefault="00F6139D" w:rsidP="00F6139D">
      <w:pPr>
        <w:widowControl/>
        <w:numPr>
          <w:ilvl w:val="0"/>
          <w:numId w:val="2"/>
        </w:numPr>
        <w:spacing w:before="100" w:after="100" w:line="36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企业所得税汇算清缴新政策解读</w:t>
      </w:r>
    </w:p>
    <w:p w14:paraId="65646193" w14:textId="77777777" w:rsidR="00F6139D" w:rsidRPr="005310FA" w:rsidRDefault="00F6139D" w:rsidP="00F6139D">
      <w:pPr>
        <w:widowControl/>
        <w:spacing w:before="100" w:after="100" w:line="360" w:lineRule="exact"/>
        <w:jc w:val="left"/>
        <w:rPr>
          <w:rFonts w:ascii="仿宋_GB2312" w:eastAsia="仿宋_GB2312" w:hAnsi="宋体" w:cs="宋体"/>
          <w:bCs/>
          <w:spacing w:val="8"/>
          <w:kern w:val="1"/>
          <w:sz w:val="28"/>
          <w:szCs w:val="28"/>
        </w:rPr>
      </w:pPr>
    </w:p>
    <w:p w14:paraId="570021E9" w14:textId="77777777" w:rsidR="00F6139D" w:rsidRPr="005310FA" w:rsidRDefault="00F6139D" w:rsidP="00F6139D">
      <w:pPr>
        <w:widowControl/>
        <w:spacing w:beforeLines="100" w:before="312"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专题三：企业预算控制与绩效评价</w:t>
      </w:r>
    </w:p>
    <w:p w14:paraId="3B21DBDC"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（一）专题介绍</w:t>
      </w:r>
    </w:p>
    <w:p w14:paraId="1CFC5633"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财务部门总说预算管控难，制作难，协调难，落实难，全面预算管理真这么难吗？</w:t>
      </w:r>
    </w:p>
    <w:p w14:paraId="17839CC0"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lastRenderedPageBreak/>
        <w:t>◆ 业务部门不愿参与预算，又抱怨财务不懂业务，只会卡费用，难道预算就是用来讨价还价的吗？</w:t>
      </w:r>
    </w:p>
    <w:p w14:paraId="2F212A66"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 每年预算和实际差异很大，老板不满意，员工不乐意，预算执行与实际差距到底是如何产生的？是预算编制的问题，还是实际执行有了偏差？到底如何调整？</w:t>
      </w:r>
    </w:p>
    <w:p w14:paraId="26644AD2"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 预算编制麻烦，不如直接压缩费用，预算就是为了减少开支吗？</w:t>
      </w:r>
    </w:p>
    <w:p w14:paraId="709723DE"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本课程将通过大量的案例分析与实例演练，为学员展示一个系统、科学的预算管理体系，帮助学员了解如何编制合理的预算，如何通过全面预算管理，促进企业部门与部门之间的相互交流与沟通；如何明确并量化公司的经营目标、制定并不断调整经营计划，用预算规范企业的管理控制。真正把财务预算变成企业全体员工认同、为企业成功提供保证的全面预算管理。</w:t>
      </w:r>
    </w:p>
    <w:p w14:paraId="7147E3B9"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6DF81595"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kern w:val="1"/>
          <w:sz w:val="28"/>
          <w:szCs w:val="28"/>
        </w:rPr>
        <w:t>1、预算管理在企业管理中的定位</w:t>
      </w:r>
    </w:p>
    <w:p w14:paraId="6160EC30"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预算管理思想在企业中的发展和运用</w:t>
      </w:r>
    </w:p>
    <w:p w14:paraId="5E51DF67"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预算与战略、运营、绩效之间的关系</w:t>
      </w:r>
    </w:p>
    <w:p w14:paraId="05F456D3"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预算管理中的主体及职责定位</w:t>
      </w:r>
    </w:p>
    <w:p w14:paraId="09B39F6B"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预算管理对象的性质及其分类</w:t>
      </w:r>
    </w:p>
    <w:p w14:paraId="4AF77947"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预算管理流程及制度体系建设</w:t>
      </w:r>
    </w:p>
    <w:p w14:paraId="12F4757B"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kern w:val="1"/>
          <w:sz w:val="28"/>
          <w:szCs w:val="28"/>
        </w:rPr>
        <w:t>2、预算编制过程中的控制</w:t>
      </w:r>
    </w:p>
    <w:p w14:paraId="474BBD9C"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预算目标确定方法与实务</w:t>
      </w:r>
    </w:p>
    <w:p w14:paraId="3FB5DFEA"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预算指标体系的确定及优劣</w:t>
      </w:r>
    </w:p>
    <w:p w14:paraId="3F5BF078"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预算目标的有效分解策略</w:t>
      </w:r>
    </w:p>
    <w:p w14:paraId="45250AFA"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如何避免分解过程中的讨价还价困境</w:t>
      </w:r>
    </w:p>
    <w:p w14:paraId="3922FB6D"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不同类型企业预算编制要点</w:t>
      </w:r>
    </w:p>
    <w:p w14:paraId="0E145FF0"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实务案例分享及经验借鉴</w:t>
      </w:r>
    </w:p>
    <w:p w14:paraId="309BA8A0"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kern w:val="1"/>
          <w:sz w:val="28"/>
          <w:szCs w:val="28"/>
        </w:rPr>
        <w:t>3、预算执行分析与调整</w:t>
      </w:r>
    </w:p>
    <w:p w14:paraId="5EA0D7D7"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预算执行中的按期分解模式</w:t>
      </w:r>
    </w:p>
    <w:p w14:paraId="5B854B84"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lastRenderedPageBreak/>
        <w:t>预算执行中的偏差管理</w:t>
      </w:r>
    </w:p>
    <w:p w14:paraId="23AEDCD3"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预算目标动态监控技巧</w:t>
      </w:r>
    </w:p>
    <w:p w14:paraId="065A4447"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预算调整制度的建立与优化</w:t>
      </w:r>
    </w:p>
    <w:p w14:paraId="4FF9FF0E"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实务案例分享及经验借鉴</w:t>
      </w:r>
    </w:p>
    <w:p w14:paraId="44BA9CD2"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kern w:val="1"/>
          <w:sz w:val="28"/>
          <w:szCs w:val="28"/>
        </w:rPr>
        <w:t>4、绩效管理与绩效评价</w:t>
      </w:r>
    </w:p>
    <w:p w14:paraId="461EEADF"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绩效管理的基本概念</w:t>
      </w:r>
    </w:p>
    <w:p w14:paraId="2B254AE6"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绩效管理的参与部门</w:t>
      </w:r>
    </w:p>
    <w:p w14:paraId="50B723E2"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平衡计分卡—化战略为行动</w:t>
      </w:r>
    </w:p>
    <w:p w14:paraId="1CE87623"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战略地图——描述企业如何创造价值</w:t>
      </w:r>
    </w:p>
    <w:p w14:paraId="1D08D8CF" w14:textId="77777777" w:rsidR="00F6139D" w:rsidRPr="005310FA" w:rsidRDefault="00F6139D" w:rsidP="00F6139D">
      <w:pPr>
        <w:widowControl/>
        <w:numPr>
          <w:ilvl w:val="0"/>
          <w:numId w:val="2"/>
        </w:numPr>
        <w:spacing w:before="120" w:after="120" w:line="380" w:lineRule="exact"/>
        <w:ind w:firstLine="0"/>
        <w:jc w:val="left"/>
        <w:rPr>
          <w:rFonts w:ascii="仿宋_GB2312" w:eastAsia="仿宋_GB2312" w:hAnsi="宋体" w:cs="宋体"/>
          <w:b/>
          <w:spacing w:val="8"/>
          <w:sz w:val="28"/>
          <w:szCs w:val="28"/>
        </w:rPr>
      </w:pPr>
      <w:r w:rsidRPr="005310FA">
        <w:rPr>
          <w:rFonts w:ascii="仿宋_GB2312" w:eastAsia="仿宋_GB2312" w:hAnsi="宋体" w:cs="宋体" w:hint="eastAsia"/>
          <w:bCs/>
          <w:spacing w:val="8"/>
          <w:kern w:val="1"/>
          <w:sz w:val="28"/>
          <w:szCs w:val="28"/>
        </w:rPr>
        <w:t>企业绩效评价、企业绩效评价、职能部门绩效评价、预算考核</w:t>
      </w:r>
    </w:p>
    <w:p w14:paraId="77724A99" w14:textId="77777777" w:rsidR="00F6139D" w:rsidRPr="005310FA" w:rsidRDefault="00F6139D" w:rsidP="00F6139D">
      <w:pPr>
        <w:widowControl/>
        <w:spacing w:beforeLines="100" w:before="312" w:after="140" w:line="380" w:lineRule="exact"/>
        <w:jc w:val="left"/>
        <w:rPr>
          <w:rFonts w:ascii="仿宋_GB2312" w:eastAsia="仿宋_GB2312" w:hAnsi="宋体" w:cs="宋体"/>
          <w:b/>
          <w:spacing w:val="8"/>
          <w:kern w:val="1"/>
          <w:sz w:val="28"/>
          <w:szCs w:val="28"/>
        </w:rPr>
      </w:pPr>
      <w:r w:rsidRPr="005310FA">
        <w:rPr>
          <w:rFonts w:ascii="仿宋_GB2312" w:eastAsia="仿宋_GB2312" w:hAnsi="宋体" w:cs="宋体" w:hint="eastAsia"/>
          <w:b/>
          <w:spacing w:val="8"/>
          <w:sz w:val="28"/>
          <w:szCs w:val="28"/>
        </w:rPr>
        <w:t>专题四：企业内部控制与风险管理及经济责任审计</w:t>
      </w:r>
    </w:p>
    <w:p w14:paraId="76A4C1C5" w14:textId="77777777" w:rsidR="00F6139D" w:rsidRPr="005310FA" w:rsidRDefault="00F6139D" w:rsidP="00F6139D">
      <w:pPr>
        <w:widowControl/>
        <w:numPr>
          <w:ilvl w:val="0"/>
          <w:numId w:val="3"/>
        </w:numPr>
        <w:spacing w:before="140" w:after="14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29AA9BE1"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内部控制对于企业经营管理的重要性日益凸显；它涉及到企业的方方面面，涉及企业运营的各个层次，包括各项业务、业务流程中的各个环节和企业中的每一个成员。到目前，国内企业的内部控制工作面临三种情况和难点：一是已经全面实施《企业内部控制规范》及其配套指引的企业，下一步的内部控制工作如何走向深入和提升优化；二是还没有全面实施的企业，特别是民营企业，如何吸取其他企业实施中积累的经验和教训，从而高起点、高水准开展内部控制工作；三是拟上市公司如何完善内部控制，特别是财务报告相关的内部控制体系，以满足监管要求，消除上市障碍。</w:t>
      </w:r>
    </w:p>
    <w:p w14:paraId="112ABD37"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企业风险管理是一套由企业董事会与管理层共同设立、和与企业战略相结合的管理流程。它的功能是识别那些会影响企业运作的潜在事件和把相关的风险管理到一个企业可接受的水平，从而帮助企业达至它的目标。</w:t>
      </w:r>
    </w:p>
    <w:p w14:paraId="2FA99C7B"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企业经济责任审计内容是经济责任审计对象的具体化,回答了对什么进行审计的问题.一般而言,企业的经济活动也就是不同物品和其价值的循环往复,企业通过对物流循环实施有效管理,以</w:t>
      </w:r>
      <w:r w:rsidRPr="005310FA">
        <w:rPr>
          <w:rFonts w:ascii="仿宋_GB2312" w:eastAsia="仿宋_GB2312" w:hAnsi="宋体" w:cs="宋体" w:hint="eastAsia"/>
          <w:bCs/>
          <w:spacing w:val="8"/>
          <w:sz w:val="28"/>
          <w:szCs w:val="28"/>
        </w:rPr>
        <w:lastRenderedPageBreak/>
        <w:t>期用尽可能少的劳动耗费取得尽可能多的劳动回报,达到提高经济效益,增加资本积累的目的</w:t>
      </w:r>
    </w:p>
    <w:p w14:paraId="18E4E8B0" w14:textId="77777777" w:rsidR="00F6139D" w:rsidRPr="005310FA" w:rsidRDefault="00F6139D" w:rsidP="00F6139D">
      <w:pPr>
        <w:widowControl/>
        <w:spacing w:before="140" w:after="140" w:line="40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20BF5ECA"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我国内控存在的常见问题解析</w:t>
      </w:r>
    </w:p>
    <w:p w14:paraId="68A41D5C"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企业内控建设流程与方法</w:t>
      </w:r>
    </w:p>
    <w:p w14:paraId="7B07322D"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内控的实战技能</w:t>
      </w:r>
    </w:p>
    <w:p w14:paraId="5E1CEDCB"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内控评价与审计</w:t>
      </w:r>
    </w:p>
    <w:p w14:paraId="16DB71EB"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内控信息化建设</w:t>
      </w:r>
    </w:p>
    <w:p w14:paraId="7BAE10CB" w14:textId="046901B6"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风险投资与企业融资</w:t>
      </w:r>
    </w:p>
    <w:p w14:paraId="5FC74670"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产权制度与企业法人治理结构</w:t>
      </w:r>
    </w:p>
    <w:p w14:paraId="7AE618EA"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风险管理的基本框架</w:t>
      </w:r>
    </w:p>
    <w:p w14:paraId="6856CE3A"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风险管理构成要素</w:t>
      </w:r>
    </w:p>
    <w:p w14:paraId="653285C6"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企业风险管理构成框架</w:t>
      </w:r>
    </w:p>
    <w:p w14:paraId="5E42DCB0"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b/>
          <w:spacing w:val="8"/>
          <w:sz w:val="28"/>
          <w:szCs w:val="28"/>
        </w:rPr>
      </w:pPr>
      <w:r w:rsidRPr="005310FA">
        <w:rPr>
          <w:rFonts w:ascii="仿宋_GB2312" w:eastAsia="仿宋_GB2312" w:hAnsi="宋体" w:cs="宋体" w:hint="eastAsia"/>
          <w:kern w:val="0"/>
          <w:sz w:val="28"/>
          <w:szCs w:val="28"/>
        </w:rPr>
        <w:t>风险对企业造成的影响</w:t>
      </w:r>
    </w:p>
    <w:p w14:paraId="46192B05"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企业经济责任审计的内容</w:t>
      </w:r>
    </w:p>
    <w:p w14:paraId="4E944BE9"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企业经济责任审计面临的难点和问题</w:t>
      </w:r>
    </w:p>
    <w:p w14:paraId="2A311578"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企业经济责任审计解决途径</w:t>
      </w:r>
    </w:p>
    <w:p w14:paraId="38115EAE" w14:textId="77777777" w:rsidR="00F6139D" w:rsidRPr="005310FA" w:rsidRDefault="00F6139D" w:rsidP="00F6139D">
      <w:pPr>
        <w:widowControl/>
        <w:spacing w:beforeLines="100" w:before="312" w:after="140" w:line="40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专题五：大数据应用与财务转型</w:t>
      </w:r>
    </w:p>
    <w:p w14:paraId="0D6A1AFF" w14:textId="77777777" w:rsidR="00F6139D" w:rsidRPr="005310FA" w:rsidRDefault="00F6139D" w:rsidP="00F6139D">
      <w:pPr>
        <w:widowControl/>
        <w:spacing w:before="140" w:after="140" w:line="400" w:lineRule="exact"/>
        <w:ind w:firstLineChars="100" w:firstLine="297"/>
        <w:jc w:val="left"/>
        <w:rPr>
          <w:rFonts w:ascii="仿宋_GB2312" w:eastAsia="仿宋_GB2312" w:hAnsi="宋体" w:cs="宋体"/>
          <w:bCs/>
          <w:spacing w:val="8"/>
          <w:sz w:val="28"/>
          <w:szCs w:val="28"/>
        </w:rPr>
      </w:pPr>
      <w:r w:rsidRPr="005310FA">
        <w:rPr>
          <w:rFonts w:ascii="仿宋_GB2312" w:eastAsia="仿宋_GB2312" w:hAnsi="宋体" w:cs="宋体" w:hint="eastAsia"/>
          <w:b/>
          <w:spacing w:val="8"/>
          <w:sz w:val="28"/>
          <w:szCs w:val="28"/>
        </w:rPr>
        <w:t>（一）专题介绍：</w:t>
      </w:r>
    </w:p>
    <w:p w14:paraId="3A9A5DB0"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随着信息化和数字化的发展，大数据技术正不断地被引入企业当中，企业管理能力和效率的提升必须实现量化分析与管理，从数据中挖掘价值，通过大数据应用实现企业智能化管理已经成为优秀企业的重要标志。面对企业内部各种数据信息，尤其是财务部门所掌握的大量财务数据，如何利用数据分析技术与工具实现智能化的财务分析与管理，帮助企业提高决策计划及管控能力，将是时下财务人员必须掌握的重要技能之一。</w:t>
      </w:r>
    </w:p>
    <w:p w14:paraId="4F08F37E" w14:textId="77777777" w:rsidR="00F6139D" w:rsidRPr="005310FA" w:rsidRDefault="00F6139D" w:rsidP="00F6139D">
      <w:pPr>
        <w:widowControl/>
        <w:spacing w:before="140" w:after="140" w:line="40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2571F859"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lastRenderedPageBreak/>
        <w:t>大数据对企业财务的影响</w:t>
      </w:r>
    </w:p>
    <w:p w14:paraId="2051446D"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大数据与企业财务风险预警</w:t>
      </w:r>
    </w:p>
    <w:p w14:paraId="68BAD81F" w14:textId="77777777" w:rsidR="00F6139D" w:rsidRPr="005310FA" w:rsidRDefault="00F6139D" w:rsidP="00F6139D">
      <w:pPr>
        <w:widowControl/>
        <w:numPr>
          <w:ilvl w:val="0"/>
          <w:numId w:val="4"/>
        </w:numPr>
        <w:spacing w:before="140" w:after="140" w:line="40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财务转型的起点</w:t>
      </w:r>
    </w:p>
    <w:p w14:paraId="630204E3" w14:textId="77777777" w:rsidR="00F6139D" w:rsidRPr="005310FA" w:rsidRDefault="00F6139D" w:rsidP="00F6139D">
      <w:pPr>
        <w:widowControl/>
        <w:spacing w:before="140" w:after="140" w:line="400" w:lineRule="exact"/>
        <w:jc w:val="left"/>
        <w:rPr>
          <w:rFonts w:ascii="仿宋_GB2312" w:eastAsia="仿宋_GB2312" w:hAnsi="宋体" w:cs="宋体"/>
          <w:kern w:val="0"/>
          <w:sz w:val="28"/>
          <w:szCs w:val="28"/>
        </w:rPr>
      </w:pPr>
    </w:p>
    <w:p w14:paraId="5F825A52" w14:textId="77777777" w:rsidR="00F6139D" w:rsidRPr="005310FA" w:rsidRDefault="00F6139D" w:rsidP="00F6139D">
      <w:pPr>
        <w:widowControl/>
        <w:spacing w:beforeLines="100" w:before="312" w:after="14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专题六：智能财务共享服务中心建设与运营实战技能提升</w:t>
      </w:r>
    </w:p>
    <w:p w14:paraId="26CFDE2C" w14:textId="77777777" w:rsidR="00F6139D" w:rsidRPr="005310FA" w:rsidRDefault="00F6139D" w:rsidP="00F6139D">
      <w:pPr>
        <w:widowControl/>
        <w:numPr>
          <w:ilvl w:val="0"/>
          <w:numId w:val="5"/>
        </w:numPr>
        <w:spacing w:before="140" w:after="14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0F8B046C"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传统的财务会计专注于会计核算，在“有助于财务会计报</w:t>
      </w:r>
      <w:r>
        <w:rPr>
          <w:rFonts w:ascii="仿宋_GB2312" w:eastAsia="仿宋_GB2312" w:hAnsi="宋体" w:cs="宋体" w:hint="eastAsia"/>
          <w:bCs/>
          <w:spacing w:val="8"/>
          <w:sz w:val="28"/>
          <w:szCs w:val="28"/>
        </w:rPr>
        <w:t>告</w:t>
      </w:r>
      <w:r w:rsidRPr="005310FA">
        <w:rPr>
          <w:rFonts w:ascii="仿宋_GB2312" w:eastAsia="仿宋_GB2312" w:hAnsi="宋体" w:cs="宋体" w:hint="eastAsia"/>
          <w:bCs/>
          <w:spacing w:val="8"/>
          <w:sz w:val="28"/>
          <w:szCs w:val="28"/>
        </w:rPr>
        <w:t>使用者作出经济决策”方面发挥的作用还远远不够。通过建立财务共享服务中心的方式，可以将会计基础核算等低附加值的作业劳动集中起来，基于流程再造和IT系统整合，可以最终提升会计核算业务处理效率。在巩固财务会计基础、加强</w:t>
      </w:r>
      <w:r w:rsidRPr="00F63E12">
        <w:rPr>
          <w:rFonts w:ascii="仿宋_GB2312" w:eastAsia="仿宋_GB2312" w:hAnsi="宋体" w:cs="宋体" w:hint="eastAsia"/>
          <w:bCs/>
          <w:spacing w:val="8"/>
          <w:sz w:val="28"/>
          <w:szCs w:val="28"/>
        </w:rPr>
        <w:t>管控</w:t>
      </w:r>
      <w:r w:rsidRPr="005310FA">
        <w:rPr>
          <w:rFonts w:ascii="仿宋_GB2312" w:eastAsia="仿宋_GB2312" w:hAnsi="仿宋_GB2312" w:cs="仿宋_GB2312" w:hint="eastAsia"/>
          <w:bCs/>
          <w:spacing w:val="8"/>
          <w:sz w:val="28"/>
          <w:szCs w:val="28"/>
        </w:rPr>
        <w:t>的同时</w:t>
      </w:r>
      <w:r w:rsidRPr="005310FA">
        <w:rPr>
          <w:rFonts w:ascii="仿宋_GB2312" w:eastAsia="仿宋_GB2312" w:hAnsi="宋体" w:cs="宋体" w:hint="eastAsia"/>
          <w:bCs/>
          <w:spacing w:val="8"/>
          <w:sz w:val="28"/>
          <w:szCs w:val="28"/>
        </w:rPr>
        <w:t>,作为后台服务的财务共享服务中心，可以为战略、经营决策提供重要的信息和分析，支持为公司</w:t>
      </w:r>
      <w:r>
        <w:rPr>
          <w:rFonts w:ascii="仿宋_GB2312" w:eastAsia="仿宋_GB2312" w:hAnsi="宋体" w:cs="宋体" w:hint="eastAsia"/>
          <w:bCs/>
          <w:spacing w:val="8"/>
          <w:sz w:val="28"/>
          <w:szCs w:val="28"/>
        </w:rPr>
        <w:t>创造</w:t>
      </w:r>
      <w:r w:rsidRPr="005310FA">
        <w:rPr>
          <w:rFonts w:ascii="仿宋_GB2312" w:eastAsia="仿宋_GB2312" w:hAnsi="宋体" w:cs="宋体" w:hint="eastAsia"/>
          <w:bCs/>
          <w:spacing w:val="8"/>
          <w:sz w:val="28"/>
          <w:szCs w:val="28"/>
        </w:rPr>
        <w:t>价值的管理会计活动。通过建立财务共享</w:t>
      </w:r>
      <w:r w:rsidRPr="00F63E12">
        <w:rPr>
          <w:rFonts w:ascii="仿宋_GB2312" w:eastAsia="仿宋_GB2312" w:hAnsi="宋体" w:cs="宋体" w:hint="eastAsia"/>
          <w:bCs/>
          <w:spacing w:val="8"/>
          <w:sz w:val="28"/>
          <w:szCs w:val="28"/>
        </w:rPr>
        <w:t>服务中</w:t>
      </w:r>
      <w:r w:rsidRPr="005310FA">
        <w:rPr>
          <w:rFonts w:ascii="仿宋_GB2312" w:eastAsia="仿宋_GB2312" w:hAnsi="仿宋_GB2312" w:cs="仿宋_GB2312" w:hint="eastAsia"/>
          <w:bCs/>
          <w:spacing w:val="8"/>
          <w:sz w:val="28"/>
          <w:szCs w:val="28"/>
        </w:rPr>
        <w:t>心，企业不仅提升了会计核算处理的效率，降低了成本，加强了管控。更为重要的是，通过建设财务共享服务中心</w:t>
      </w:r>
      <w:r w:rsidRPr="005310FA">
        <w:rPr>
          <w:rFonts w:ascii="仿宋_GB2312" w:eastAsia="仿宋_GB2312" w:hAnsi="宋体" w:cs="宋体" w:hint="eastAsia"/>
          <w:bCs/>
          <w:spacing w:val="8"/>
          <w:sz w:val="28"/>
          <w:szCs w:val="28"/>
        </w:rPr>
        <w:t>,企业会</w:t>
      </w:r>
      <w:r>
        <w:rPr>
          <w:rFonts w:ascii="仿宋_GB2312" w:eastAsia="仿宋_GB2312" w:hAnsi="宋体" w:cs="宋体" w:hint="eastAsia"/>
          <w:bCs/>
          <w:spacing w:val="8"/>
          <w:sz w:val="28"/>
          <w:szCs w:val="28"/>
        </w:rPr>
        <w:t>解放</w:t>
      </w:r>
      <w:r w:rsidRPr="005310FA">
        <w:rPr>
          <w:rFonts w:ascii="仿宋_GB2312" w:eastAsia="仿宋_GB2312" w:hAnsi="宋体" w:cs="宋体" w:hint="eastAsia"/>
          <w:bCs/>
          <w:spacing w:val="8"/>
          <w:sz w:val="28"/>
          <w:szCs w:val="28"/>
        </w:rPr>
        <w:t>大量的财务会计人员，让他们从大量低附加值、重复、劳动力密集型的基础核</w:t>
      </w:r>
      <w:r>
        <w:rPr>
          <w:rFonts w:ascii="仿宋_GB2312" w:eastAsia="仿宋_GB2312" w:hAnsi="宋体" w:cs="宋体" w:hint="eastAsia"/>
          <w:bCs/>
          <w:spacing w:val="8"/>
          <w:sz w:val="28"/>
          <w:szCs w:val="28"/>
        </w:rPr>
        <w:t>算</w:t>
      </w:r>
      <w:r w:rsidRPr="005310FA">
        <w:rPr>
          <w:rFonts w:ascii="仿宋_GB2312" w:eastAsia="仿宋_GB2312" w:hAnsi="宋体" w:cs="宋体" w:hint="eastAsia"/>
          <w:bCs/>
          <w:spacing w:val="8"/>
          <w:sz w:val="28"/>
          <w:szCs w:val="28"/>
        </w:rPr>
        <w:t>工作中解脱出来，让他们集中精力去从事所谓的业务型财务和战略型财务，实现财务与业务、战略的一体化，让管理会计直正落地实施，实现财务为企业</w:t>
      </w:r>
      <w:r w:rsidRPr="003A4AE4">
        <w:rPr>
          <w:rFonts w:ascii="仿宋_GB2312" w:eastAsia="仿宋_GB2312" w:hAnsi="宋体" w:cs="宋体" w:hint="eastAsia"/>
          <w:bCs/>
          <w:spacing w:val="8"/>
          <w:sz w:val="28"/>
          <w:szCs w:val="28"/>
        </w:rPr>
        <w:t>增加价</w:t>
      </w:r>
      <w:r w:rsidRPr="005310FA">
        <w:rPr>
          <w:rFonts w:ascii="仿宋_GB2312" w:eastAsia="仿宋_GB2312" w:hAnsi="仿宋_GB2312" w:cs="仿宋_GB2312" w:hint="eastAsia"/>
          <w:bCs/>
          <w:spacing w:val="8"/>
          <w:sz w:val="28"/>
          <w:szCs w:val="28"/>
        </w:rPr>
        <w:t>值的目标。</w:t>
      </w:r>
    </w:p>
    <w:p w14:paraId="63354CD1" w14:textId="77777777" w:rsidR="00F6139D" w:rsidRPr="005310FA" w:rsidRDefault="00F6139D" w:rsidP="00F6139D">
      <w:pPr>
        <w:widowControl/>
        <w:numPr>
          <w:ilvl w:val="0"/>
          <w:numId w:val="5"/>
        </w:numPr>
        <w:spacing w:before="140" w:after="14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课程内容：</w:t>
      </w:r>
    </w:p>
    <w:p w14:paraId="0ED0E6DD" w14:textId="77777777" w:rsidR="00F6139D" w:rsidRPr="005310FA" w:rsidRDefault="00F6139D" w:rsidP="00F6139D">
      <w:pPr>
        <w:widowControl/>
        <w:numPr>
          <w:ilvl w:val="0"/>
          <w:numId w:val="2"/>
        </w:numPr>
        <w:spacing w:before="140" w:after="14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财务共享服务中心建设的准备工作</w:t>
      </w:r>
    </w:p>
    <w:p w14:paraId="7F356634" w14:textId="77777777" w:rsidR="00F6139D" w:rsidRPr="005310FA" w:rsidRDefault="00F6139D" w:rsidP="00F6139D">
      <w:pPr>
        <w:widowControl/>
        <w:numPr>
          <w:ilvl w:val="0"/>
          <w:numId w:val="2"/>
        </w:numPr>
        <w:spacing w:before="140" w:after="14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财务共享服务中心的方案设计</w:t>
      </w:r>
    </w:p>
    <w:p w14:paraId="3E9EC264" w14:textId="77777777" w:rsidR="00F6139D" w:rsidRPr="005310FA" w:rsidRDefault="00F6139D" w:rsidP="00F6139D">
      <w:pPr>
        <w:widowControl/>
        <w:numPr>
          <w:ilvl w:val="0"/>
          <w:numId w:val="2"/>
        </w:numPr>
        <w:spacing w:before="140" w:after="14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财务共享服务中心建设的项目管理</w:t>
      </w:r>
    </w:p>
    <w:p w14:paraId="6B944693" w14:textId="77777777" w:rsidR="00F6139D" w:rsidRPr="005310FA" w:rsidRDefault="00F6139D" w:rsidP="00F6139D">
      <w:pPr>
        <w:widowControl/>
        <w:numPr>
          <w:ilvl w:val="0"/>
          <w:numId w:val="2"/>
        </w:numPr>
        <w:spacing w:before="140" w:after="140" w:line="380" w:lineRule="exact"/>
        <w:ind w:firstLine="0"/>
        <w:jc w:val="left"/>
        <w:rPr>
          <w:rFonts w:ascii="仿宋_GB2312" w:eastAsia="仿宋_GB2312" w:hAnsi="宋体" w:cs="宋体"/>
          <w:bCs/>
          <w:spacing w:val="8"/>
          <w:kern w:val="1"/>
          <w:sz w:val="28"/>
          <w:szCs w:val="28"/>
        </w:rPr>
      </w:pPr>
      <w:r w:rsidRPr="005310FA">
        <w:rPr>
          <w:rFonts w:ascii="仿宋_GB2312" w:eastAsia="仿宋_GB2312" w:hAnsi="宋体" w:cs="宋体" w:hint="eastAsia"/>
          <w:bCs/>
          <w:spacing w:val="8"/>
          <w:kern w:val="1"/>
          <w:sz w:val="28"/>
          <w:szCs w:val="28"/>
        </w:rPr>
        <w:t>财务共享服务中心增值服务的功能拓展</w:t>
      </w:r>
    </w:p>
    <w:p w14:paraId="326463D9" w14:textId="77777777" w:rsidR="00F6139D" w:rsidRPr="005310FA" w:rsidRDefault="00F6139D" w:rsidP="00F6139D">
      <w:pPr>
        <w:widowControl/>
        <w:numPr>
          <w:ilvl w:val="0"/>
          <w:numId w:val="2"/>
        </w:numPr>
        <w:spacing w:before="140" w:after="140" w:line="380" w:lineRule="exact"/>
        <w:ind w:firstLine="0"/>
        <w:jc w:val="left"/>
        <w:rPr>
          <w:rFonts w:ascii="仿宋_GB2312" w:eastAsia="仿宋_GB2312" w:hAnsi="宋体" w:cs="宋体"/>
          <w:b/>
          <w:spacing w:val="8"/>
          <w:sz w:val="28"/>
          <w:szCs w:val="28"/>
        </w:rPr>
      </w:pPr>
      <w:r w:rsidRPr="005310FA">
        <w:rPr>
          <w:rFonts w:ascii="仿宋_GB2312" w:eastAsia="仿宋_GB2312" w:hAnsi="宋体" w:cs="宋体" w:hint="eastAsia"/>
          <w:bCs/>
          <w:spacing w:val="8"/>
          <w:kern w:val="1"/>
          <w:sz w:val="28"/>
          <w:szCs w:val="28"/>
        </w:rPr>
        <w:t>云计算、大数据、互联网背景下的财务共享服务</w:t>
      </w:r>
    </w:p>
    <w:p w14:paraId="6206EFC2" w14:textId="77777777" w:rsidR="00F6139D" w:rsidRDefault="00F6139D" w:rsidP="00F6139D">
      <w:pPr>
        <w:widowControl/>
        <w:spacing w:beforeLines="100" w:before="312" w:after="120" w:line="380" w:lineRule="exact"/>
        <w:jc w:val="left"/>
        <w:rPr>
          <w:rFonts w:ascii="仿宋_GB2312" w:eastAsia="仿宋_GB2312" w:hAnsi="宋体" w:cs="宋体"/>
          <w:b/>
          <w:spacing w:val="8"/>
          <w:sz w:val="28"/>
          <w:szCs w:val="28"/>
        </w:rPr>
      </w:pPr>
    </w:p>
    <w:p w14:paraId="1A0C7D4E" w14:textId="77777777" w:rsidR="00F6139D" w:rsidRDefault="00F6139D" w:rsidP="00F6139D">
      <w:pPr>
        <w:widowControl/>
        <w:spacing w:beforeLines="100" w:before="312" w:after="120" w:line="380" w:lineRule="exact"/>
        <w:jc w:val="left"/>
        <w:rPr>
          <w:rFonts w:ascii="仿宋_GB2312" w:eastAsia="仿宋_GB2312" w:hAnsi="宋体" w:cs="宋体"/>
          <w:b/>
          <w:spacing w:val="8"/>
          <w:sz w:val="28"/>
          <w:szCs w:val="28"/>
        </w:rPr>
      </w:pPr>
    </w:p>
    <w:p w14:paraId="50574BC8" w14:textId="3F28C4A3" w:rsidR="00F6139D" w:rsidRPr="005310FA" w:rsidRDefault="00F6139D" w:rsidP="00F6139D">
      <w:pPr>
        <w:widowControl/>
        <w:spacing w:beforeLines="100" w:before="312"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lastRenderedPageBreak/>
        <w:t>专题七：投融资管理与公司并购及重组</w:t>
      </w:r>
    </w:p>
    <w:p w14:paraId="40030A3A" w14:textId="77777777" w:rsidR="00F6139D" w:rsidRPr="005310FA" w:rsidRDefault="00F6139D" w:rsidP="00F6139D">
      <w:pPr>
        <w:widowControl/>
        <w:numPr>
          <w:ilvl w:val="0"/>
          <w:numId w:val="6"/>
        </w:numPr>
        <w:spacing w:before="120"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4FAC335A"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企业的投融资也就是我们常说的融资、投资这两个方面，它们虽然是企业在运营时所采取的不同方式，但目的只有一个，那就是要利用融资以及投资办法尽快的使得企业收获更好的经济效益。简单来讲，投资就是为了进一步的开拓自己的市场、扩大自身的生产力等目的而利用已有的资产加大投入，其目的是为了合法的获取更多的经济利益。而融资则是企业向投资者或者企业的债权人进行资金的筹集，融资是立足于实际的经营状况，通过拿到筹集资金扩大企业的经济效益。</w:t>
      </w:r>
    </w:p>
    <w:p w14:paraId="1C3AED32"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并购重组，已经成为最大化企业价值和创造持续竞争优势的企业战略的一个重要措施。以金融服务业、医疗、互联网、高科技等行业为代表，通过并购实现外延性增长，实现快速扩张以能源、矿产和钢铁为代表的传统行业在主业趋于疲软下，积极通过并购进入新领域，实现企业战略转型</w:t>
      </w:r>
      <w:r>
        <w:rPr>
          <w:rFonts w:ascii="仿宋_GB2312" w:eastAsia="仿宋_GB2312" w:hAnsi="宋体" w:cs="宋体" w:hint="eastAsia"/>
          <w:bCs/>
          <w:spacing w:val="8"/>
          <w:sz w:val="28"/>
          <w:szCs w:val="28"/>
        </w:rPr>
        <w:t>，</w:t>
      </w:r>
      <w:r w:rsidRPr="005310FA">
        <w:rPr>
          <w:rFonts w:ascii="仿宋_GB2312" w:eastAsia="仿宋_GB2312" w:hAnsi="宋体" w:cs="宋体" w:hint="eastAsia"/>
          <w:bCs/>
          <w:spacing w:val="8"/>
          <w:sz w:val="28"/>
          <w:szCs w:val="28"/>
        </w:rPr>
        <w:t>优秀企业纷纷走出国门，在全球范围内收购品牌、技术、能源等战略性资源，开辟新的成长市场;政府推动国企的混合所有制改革，催生大量的并购交易;在政策层面，政府不断松绑、创新并购相关政策，在并购审批、税务优惠、资金政策等方面的支持，直接有力地推动并购市场的持续活跃。然而，许多并购难以获得预想的成功，针对企业并购过程中遇到的种种问题，以及并购运作团队管理能力的欠缺，本课程内容立足深入剖析企业并购重组的运作方法与策略，集合海内外并购成功案例的通行要素，帮助企业提高并购成功率。</w:t>
      </w:r>
    </w:p>
    <w:p w14:paraId="1BAA676A" w14:textId="77777777" w:rsidR="00F6139D" w:rsidRPr="005310FA" w:rsidRDefault="00F6139D" w:rsidP="00F6139D">
      <w:pPr>
        <w:widowControl/>
        <w:numPr>
          <w:ilvl w:val="0"/>
          <w:numId w:val="6"/>
        </w:numPr>
        <w:spacing w:before="120"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课程内容：</w:t>
      </w:r>
    </w:p>
    <w:p w14:paraId="734E1596"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利率市场化与互联网金融</w:t>
      </w:r>
    </w:p>
    <w:p w14:paraId="159F11A8"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资金管理创新的理念与框架</w:t>
      </w:r>
    </w:p>
    <w:p w14:paraId="12751EBE"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集团企业现金流管理与控制实务</w:t>
      </w:r>
    </w:p>
    <w:p w14:paraId="32292828" w14:textId="631A0B6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企业并购与并购融资</w:t>
      </w:r>
    </w:p>
    <w:p w14:paraId="6FF644CB"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并购中的估值及报告阅读的关键</w:t>
      </w:r>
    </w:p>
    <w:p w14:paraId="55BA1DC6"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b/>
          <w:spacing w:val="8"/>
          <w:sz w:val="28"/>
          <w:szCs w:val="28"/>
        </w:rPr>
      </w:pPr>
      <w:r w:rsidRPr="005310FA">
        <w:rPr>
          <w:rFonts w:ascii="仿宋_GB2312" w:eastAsia="仿宋_GB2312" w:hAnsi="宋体" w:cs="宋体" w:hint="eastAsia"/>
          <w:kern w:val="0"/>
          <w:sz w:val="28"/>
          <w:szCs w:val="28"/>
        </w:rPr>
        <w:t>并购重组中的财务问题</w:t>
      </w:r>
    </w:p>
    <w:p w14:paraId="601522D9"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并购重组的风险控制</w:t>
      </w:r>
    </w:p>
    <w:p w14:paraId="25E6CA95" w14:textId="77777777" w:rsidR="00F6139D" w:rsidRPr="005310FA" w:rsidRDefault="00F6139D" w:rsidP="00F6139D">
      <w:pPr>
        <w:widowControl/>
        <w:spacing w:beforeLines="100" w:before="312" w:after="120" w:line="380" w:lineRule="exact"/>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lastRenderedPageBreak/>
        <w:t>专题八：数字化时代的业财融合实务与案例分析</w:t>
      </w:r>
    </w:p>
    <w:p w14:paraId="21F67140" w14:textId="77777777" w:rsidR="00F6139D" w:rsidRPr="005310FA" w:rsidRDefault="00F6139D" w:rsidP="00F6139D">
      <w:pPr>
        <w:widowControl/>
        <w:numPr>
          <w:ilvl w:val="0"/>
          <w:numId w:val="8"/>
        </w:numPr>
        <w:spacing w:before="120" w:after="12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066363CB" w14:textId="77777777" w:rsidR="00F6139D" w:rsidRPr="005310FA" w:rsidRDefault="00F6139D" w:rsidP="00F6139D">
      <w:pPr>
        <w:widowControl/>
        <w:spacing w:before="120" w:after="120" w:line="400" w:lineRule="exact"/>
        <w:ind w:firstLineChars="200" w:firstLine="592"/>
        <w:jc w:val="left"/>
        <w:rPr>
          <w:rFonts w:ascii="仿宋_GB2312" w:eastAsia="仿宋_GB2312" w:hAnsi="宋体" w:cs="宋体"/>
          <w:bCs/>
          <w:spacing w:val="8"/>
          <w:sz w:val="28"/>
          <w:szCs w:val="28"/>
        </w:rPr>
      </w:pPr>
      <w:r w:rsidRPr="005310FA">
        <w:rPr>
          <w:rFonts w:ascii="仿宋_GB2312" w:eastAsia="仿宋_GB2312" w:hAnsi="宋体" w:cs="宋体" w:hint="eastAsia"/>
          <w:bCs/>
          <w:spacing w:val="8"/>
          <w:sz w:val="28"/>
          <w:szCs w:val="28"/>
        </w:rPr>
        <w:t>在经济步入新常态的当下，企业需要的不是等待时机，而是不懈努力。必须以坚忍不拔的精神开展持续重塑，不断寻求并实施变革，做出敏捷的分析和预测，把资源集中于回报更高、前景更好的市场、产品或渠道。作为业务合作伙伴，财务专业人士能够为上述决策提供支持，并推动有效的绩效管理。而要实现这一目标，财务部门必须转型。财务需要借助标准化、自动化和共享服务提高效率，需要借助云计算、大数据和BI等提供有效的管理信息，通过决策支持和绩效管理发挥更大的影响力和作用，也就是业财融合。作为高效的业务合作伙伴，财务人员需要具备综合的技术、人际及概念能力。为在有限的时间内给大家提供财务转型的逻辑与路径参考，此次课程，以案例教学的方式，以点带面，逐步深入，让各类企业都能从中找到切入点，开启价值创造之路。</w:t>
      </w:r>
    </w:p>
    <w:p w14:paraId="2DF8176C" w14:textId="77777777" w:rsidR="00F6139D" w:rsidRPr="005310FA" w:rsidRDefault="00F6139D" w:rsidP="00F6139D">
      <w:pPr>
        <w:widowControl/>
        <w:spacing w:before="120" w:after="120" w:line="380" w:lineRule="exact"/>
        <w:ind w:firstLineChars="100" w:firstLine="297"/>
        <w:jc w:val="left"/>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21A75850"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财务管理转型背景</w:t>
      </w:r>
    </w:p>
    <w:p w14:paraId="2BF3B2E1"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业务对财务的需求</w:t>
      </w:r>
    </w:p>
    <w:p w14:paraId="3F2235F5"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战略支持路径与工具</w:t>
      </w:r>
    </w:p>
    <w:p w14:paraId="1E7CD824"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财务管理转型与信息技术运用能力</w:t>
      </w:r>
    </w:p>
    <w:p w14:paraId="367C9247" w14:textId="77777777" w:rsidR="00F6139D" w:rsidRDefault="00F6139D" w:rsidP="00F6139D">
      <w:pPr>
        <w:pStyle w:val="a3"/>
        <w:spacing w:beforeLines="100" w:before="312" w:after="120" w:line="380" w:lineRule="exact"/>
        <w:ind w:firstLineChars="0" w:firstLine="0"/>
        <w:rPr>
          <w:rFonts w:ascii="仿宋_GB2312" w:eastAsia="仿宋_GB2312" w:hAnsi="宋体" w:cs="宋体"/>
          <w:b/>
          <w:spacing w:val="8"/>
          <w:sz w:val="28"/>
          <w:szCs w:val="28"/>
        </w:rPr>
      </w:pPr>
    </w:p>
    <w:p w14:paraId="1CA065DB" w14:textId="77777777" w:rsidR="00F6139D" w:rsidRPr="005310FA" w:rsidRDefault="00F6139D" w:rsidP="00F6139D">
      <w:pPr>
        <w:pStyle w:val="a3"/>
        <w:spacing w:beforeLines="100" w:before="312" w:after="120" w:line="380" w:lineRule="exact"/>
        <w:ind w:firstLineChars="0" w:firstLine="0"/>
        <w:rPr>
          <w:rFonts w:ascii="仿宋_GB2312" w:eastAsia="仿宋_GB2312" w:hAnsi="宋体" w:cs="宋体"/>
          <w:b/>
          <w:bCs/>
          <w:spacing w:val="8"/>
          <w:sz w:val="28"/>
          <w:szCs w:val="28"/>
        </w:rPr>
      </w:pPr>
      <w:r w:rsidRPr="005310FA">
        <w:rPr>
          <w:rFonts w:ascii="仿宋_GB2312" w:eastAsia="仿宋_GB2312" w:hAnsi="宋体" w:cs="宋体" w:hint="eastAsia"/>
          <w:b/>
          <w:spacing w:val="8"/>
          <w:sz w:val="28"/>
          <w:szCs w:val="28"/>
        </w:rPr>
        <w:t>专题九：</w:t>
      </w:r>
      <w:r w:rsidRPr="005310FA">
        <w:rPr>
          <w:rFonts w:ascii="仿宋_GB2312" w:eastAsia="仿宋_GB2312" w:hAnsi="宋体" w:cs="宋体" w:hint="eastAsia"/>
          <w:b/>
          <w:bCs/>
          <w:spacing w:val="8"/>
          <w:sz w:val="28"/>
          <w:szCs w:val="28"/>
        </w:rPr>
        <w:t>财务人员法律素质提升与《民法典》权威解读</w:t>
      </w:r>
    </w:p>
    <w:p w14:paraId="50703309" w14:textId="77777777" w:rsidR="00F6139D" w:rsidRPr="005310FA" w:rsidRDefault="00F6139D" w:rsidP="00F6139D">
      <w:pPr>
        <w:pStyle w:val="a3"/>
        <w:numPr>
          <w:ilvl w:val="0"/>
          <w:numId w:val="9"/>
        </w:numPr>
        <w:spacing w:before="120" w:after="120" w:line="380" w:lineRule="exact"/>
        <w:ind w:firstLineChars="100" w:firstLine="297"/>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专题介绍：</w:t>
      </w:r>
    </w:p>
    <w:p w14:paraId="7B62CE1C" w14:textId="77777777" w:rsidR="00F6139D" w:rsidRPr="005310FA" w:rsidRDefault="00F6139D" w:rsidP="00F6139D">
      <w:pPr>
        <w:pStyle w:val="a3"/>
        <w:spacing w:before="120" w:after="120" w:line="400" w:lineRule="exact"/>
        <w:ind w:firstLine="592"/>
        <w:rPr>
          <w:rFonts w:ascii="仿宋_GB2312" w:eastAsia="仿宋_GB2312" w:hAnsi="宋体" w:cs="宋体"/>
          <w:b/>
          <w:spacing w:val="8"/>
          <w:sz w:val="28"/>
          <w:szCs w:val="28"/>
        </w:rPr>
      </w:pPr>
      <w:r w:rsidRPr="005310FA">
        <w:rPr>
          <w:rFonts w:ascii="仿宋_GB2312" w:eastAsia="仿宋_GB2312" w:hAnsi="宋体" w:cs="宋体" w:hint="eastAsia"/>
          <w:bCs/>
          <w:spacing w:val="8"/>
          <w:sz w:val="28"/>
          <w:szCs w:val="28"/>
        </w:rPr>
        <w:t>为贯彻学习宣传《民法典》的精神,便于社会各界尤其是政法界、实务界人士更好地了解民法典编篡的背景、意义以及正确理解,深入解读《民法典》对民事法律行为的构成事件、行为主体要求及法律责任,掌握《民法典》的内容、框架、结构, 帮助社会各界准确理解《中华人民共和国民法典》精神，加强社会各界对民法典学习和探讨。</w:t>
      </w:r>
    </w:p>
    <w:p w14:paraId="188A1351" w14:textId="77777777" w:rsidR="00F6139D" w:rsidRPr="005310FA" w:rsidRDefault="00F6139D" w:rsidP="00F6139D">
      <w:pPr>
        <w:pStyle w:val="a3"/>
        <w:spacing w:before="120" w:after="120" w:line="380" w:lineRule="exact"/>
        <w:ind w:firstLineChars="100" w:firstLine="297"/>
        <w:rPr>
          <w:rFonts w:ascii="仿宋_GB2312" w:eastAsia="仿宋_GB2312" w:hAnsi="宋体" w:cs="宋体"/>
          <w:b/>
          <w:spacing w:val="8"/>
          <w:sz w:val="28"/>
          <w:szCs w:val="28"/>
        </w:rPr>
      </w:pPr>
      <w:r w:rsidRPr="005310FA">
        <w:rPr>
          <w:rFonts w:ascii="仿宋_GB2312" w:eastAsia="仿宋_GB2312" w:hAnsi="宋体" w:cs="宋体" w:hint="eastAsia"/>
          <w:b/>
          <w:spacing w:val="8"/>
          <w:sz w:val="28"/>
          <w:szCs w:val="28"/>
        </w:rPr>
        <w:t>（二）课程内容：</w:t>
      </w:r>
    </w:p>
    <w:p w14:paraId="0413C9BF"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lastRenderedPageBreak/>
        <w:t>民法典的概述、制定及重要意义</w:t>
      </w:r>
    </w:p>
    <w:p w14:paraId="062F4429"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民法典基本规定权威解读</w:t>
      </w:r>
    </w:p>
    <w:p w14:paraId="5E568CF8"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重点与法律关系及特点</w:t>
      </w:r>
    </w:p>
    <w:p w14:paraId="396AE926"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民法典的构成要件、行为主体及责任方式</w:t>
      </w:r>
    </w:p>
    <w:p w14:paraId="557F3597"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民法典调整对象的基本原则及热点难点解析</w:t>
      </w:r>
    </w:p>
    <w:p w14:paraId="0C37B315"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 xml:space="preserve">精选的民法典案例分析以及实务操作  </w:t>
      </w:r>
    </w:p>
    <w:p w14:paraId="4FDDDC35" w14:textId="77777777" w:rsidR="00F6139D" w:rsidRPr="005310FA" w:rsidRDefault="00F6139D" w:rsidP="00F6139D">
      <w:pPr>
        <w:widowControl/>
        <w:numPr>
          <w:ilvl w:val="0"/>
          <w:numId w:val="7"/>
        </w:numPr>
        <w:spacing w:before="120" w:after="120" w:line="380" w:lineRule="exact"/>
        <w:ind w:firstLine="0"/>
        <w:jc w:val="left"/>
        <w:rPr>
          <w:rFonts w:ascii="仿宋_GB2312" w:eastAsia="仿宋_GB2312" w:hAnsi="宋体" w:cs="宋体"/>
          <w:kern w:val="0"/>
          <w:sz w:val="28"/>
          <w:szCs w:val="28"/>
        </w:rPr>
      </w:pPr>
      <w:r w:rsidRPr="005310FA">
        <w:rPr>
          <w:rFonts w:ascii="仿宋_GB2312" w:eastAsia="仿宋_GB2312" w:hAnsi="宋体" w:cs="宋体" w:hint="eastAsia"/>
          <w:kern w:val="0"/>
          <w:sz w:val="28"/>
          <w:szCs w:val="28"/>
        </w:rPr>
        <w:t>民法典编撰争议问题的类型化分析</w:t>
      </w:r>
      <w:r w:rsidRPr="005310FA">
        <w:rPr>
          <w:rFonts w:ascii="仿宋_GB2312" w:eastAsia="仿宋_GB2312" w:hAnsi="宋体" w:cs="宋体" w:hint="eastAsia"/>
          <w:kern w:val="0"/>
          <w:sz w:val="28"/>
          <w:szCs w:val="28"/>
        </w:rPr>
        <w:br/>
      </w:r>
    </w:p>
    <w:p w14:paraId="2F022C2D" w14:textId="77777777" w:rsidR="000C60A5" w:rsidRPr="00F6139D" w:rsidRDefault="000C60A5"/>
    <w:sectPr w:rsidR="000C60A5" w:rsidRPr="00F61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BC922F"/>
    <w:multiLevelType w:val="singleLevel"/>
    <w:tmpl w:val="A7BC922F"/>
    <w:lvl w:ilvl="0">
      <w:start w:val="1"/>
      <w:numFmt w:val="chineseCounting"/>
      <w:suff w:val="nothing"/>
      <w:lvlText w:val="（%1）"/>
      <w:lvlJc w:val="left"/>
      <w:pPr>
        <w:ind w:left="469" w:firstLine="0"/>
      </w:pPr>
      <w:rPr>
        <w:rFonts w:hint="eastAsia"/>
      </w:rPr>
    </w:lvl>
  </w:abstractNum>
  <w:abstractNum w:abstractNumId="1" w15:restartNumberingAfterBreak="0">
    <w:nsid w:val="AB3775F8"/>
    <w:multiLevelType w:val="singleLevel"/>
    <w:tmpl w:val="AB3775F8"/>
    <w:lvl w:ilvl="0">
      <w:start w:val="1"/>
      <w:numFmt w:val="chineseCounting"/>
      <w:suff w:val="nothing"/>
      <w:lvlText w:val="（%1）"/>
      <w:lvlJc w:val="left"/>
      <w:rPr>
        <w:rFonts w:hint="eastAsia"/>
      </w:rPr>
    </w:lvl>
  </w:abstractNum>
  <w:abstractNum w:abstractNumId="2" w15:restartNumberingAfterBreak="0">
    <w:nsid w:val="BDDB8E36"/>
    <w:multiLevelType w:val="singleLevel"/>
    <w:tmpl w:val="BDDB8E36"/>
    <w:lvl w:ilvl="0">
      <w:start w:val="1"/>
      <w:numFmt w:val="chineseCounting"/>
      <w:suff w:val="nothing"/>
      <w:lvlText w:val="（%1）"/>
      <w:lvlJc w:val="left"/>
      <w:rPr>
        <w:rFonts w:hint="eastAsia"/>
      </w:rPr>
    </w:lvl>
  </w:abstractNum>
  <w:abstractNum w:abstractNumId="3" w15:restartNumberingAfterBreak="0">
    <w:nsid w:val="F5D6BA4A"/>
    <w:multiLevelType w:val="singleLevel"/>
    <w:tmpl w:val="F5D6BA4A"/>
    <w:lvl w:ilvl="0">
      <w:start w:val="1"/>
      <w:numFmt w:val="chineseCounting"/>
      <w:suff w:val="nothing"/>
      <w:lvlText w:val="（%1）"/>
      <w:lvlJc w:val="left"/>
      <w:rPr>
        <w:rFonts w:hint="eastAsia"/>
      </w:rPr>
    </w:lvl>
  </w:abstractNum>
  <w:abstractNum w:abstractNumId="4" w15:restartNumberingAfterBreak="0">
    <w:nsid w:val="58B9D192"/>
    <w:multiLevelType w:val="singleLevel"/>
    <w:tmpl w:val="58B9D192"/>
    <w:lvl w:ilvl="0">
      <w:start w:val="1"/>
      <w:numFmt w:val="chineseCounting"/>
      <w:suff w:val="nothing"/>
      <w:lvlText w:val="（%1）"/>
      <w:lvlJc w:val="left"/>
      <w:rPr>
        <w:rFonts w:hint="eastAsia"/>
      </w:rPr>
    </w:lvl>
  </w:abstractNum>
  <w:abstractNum w:abstractNumId="5" w15:restartNumberingAfterBreak="0">
    <w:nsid w:val="5A00110A"/>
    <w:multiLevelType w:val="singleLevel"/>
    <w:tmpl w:val="5A00110A"/>
    <w:lvl w:ilvl="0">
      <w:start w:val="1"/>
      <w:numFmt w:val="bullet"/>
      <w:lvlText w:val=""/>
      <w:lvlJc w:val="left"/>
      <w:pPr>
        <w:ind w:left="420" w:hanging="420"/>
      </w:pPr>
      <w:rPr>
        <w:rFonts w:ascii="Wingdings" w:hAnsi="Wingdings" w:hint="default"/>
      </w:rPr>
    </w:lvl>
  </w:abstractNum>
  <w:abstractNum w:abstractNumId="6" w15:restartNumberingAfterBreak="0">
    <w:nsid w:val="5A001242"/>
    <w:multiLevelType w:val="singleLevel"/>
    <w:tmpl w:val="5A001242"/>
    <w:lvl w:ilvl="0">
      <w:start w:val="1"/>
      <w:numFmt w:val="bullet"/>
      <w:lvlText w:val=""/>
      <w:lvlJc w:val="left"/>
      <w:pPr>
        <w:ind w:left="420" w:hanging="420"/>
      </w:pPr>
      <w:rPr>
        <w:rFonts w:ascii="Wingdings" w:hAnsi="Wingdings" w:hint="default"/>
      </w:rPr>
    </w:lvl>
  </w:abstractNum>
  <w:abstractNum w:abstractNumId="7" w15:restartNumberingAfterBreak="0">
    <w:nsid w:val="5A001444"/>
    <w:multiLevelType w:val="singleLevel"/>
    <w:tmpl w:val="5A001444"/>
    <w:lvl w:ilvl="0">
      <w:start w:val="1"/>
      <w:numFmt w:val="bullet"/>
      <w:lvlText w:val=""/>
      <w:lvlJc w:val="left"/>
      <w:pPr>
        <w:ind w:left="420" w:hanging="420"/>
      </w:pPr>
      <w:rPr>
        <w:rFonts w:ascii="Wingdings" w:hAnsi="Wingdings" w:hint="default"/>
      </w:rPr>
    </w:lvl>
  </w:abstractNum>
  <w:abstractNum w:abstractNumId="8" w15:restartNumberingAfterBreak="0">
    <w:nsid w:val="7E90C586"/>
    <w:multiLevelType w:val="singleLevel"/>
    <w:tmpl w:val="7E90C586"/>
    <w:lvl w:ilvl="0">
      <w:start w:val="1"/>
      <w:numFmt w:val="chineseCounting"/>
      <w:suff w:val="nothing"/>
      <w:lvlText w:val="（%1）"/>
      <w:lvlJc w:val="left"/>
      <w:rPr>
        <w:rFonts w:hint="eastAsia"/>
      </w:rPr>
    </w:lvl>
  </w:abstractNum>
  <w:num w:numId="1">
    <w:abstractNumId w:val="8"/>
  </w:num>
  <w:num w:numId="2">
    <w:abstractNumId w:val="5"/>
  </w:num>
  <w:num w:numId="3">
    <w:abstractNumId w:val="2"/>
  </w:num>
  <w:num w:numId="4">
    <w:abstractNumId w:val="6"/>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9D"/>
    <w:rsid w:val="000C60A5"/>
    <w:rsid w:val="00584648"/>
    <w:rsid w:val="005D5815"/>
    <w:rsid w:val="00E923E7"/>
    <w:rsid w:val="00F6139D"/>
    <w:rsid w:val="00FE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3DC"/>
  <w15:chartTrackingRefBased/>
  <w15:docId w15:val="{8906F2C4-D1D0-4439-80C9-59A16B4F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3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F613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6</cp:revision>
  <dcterms:created xsi:type="dcterms:W3CDTF">2021-02-19T06:49:00Z</dcterms:created>
  <dcterms:modified xsi:type="dcterms:W3CDTF">2021-02-19T07:31:00Z</dcterms:modified>
</cp:coreProperties>
</file>