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916F" w14:textId="77777777" w:rsidR="00815B78" w:rsidRDefault="00815B78" w:rsidP="00815B78">
      <w:pPr>
        <w:spacing w:line="6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331F3634" w14:textId="77777777" w:rsidR="00815B78" w:rsidRDefault="00815B78" w:rsidP="00815B78">
      <w:pPr>
        <w:spacing w:line="62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2021年银行业会计准则专题培训班</w:t>
      </w:r>
    </w:p>
    <w:p w14:paraId="4F6F2B80" w14:textId="77777777" w:rsidR="00815B78" w:rsidRDefault="00815B78" w:rsidP="00815B78">
      <w:pPr>
        <w:spacing w:line="62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14:paraId="76E4B9B2" w14:textId="77777777" w:rsidR="00815B78" w:rsidRDefault="00815B78" w:rsidP="00815B78">
      <w:pPr>
        <w:spacing w:line="62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3FB4C698" w14:textId="77777777" w:rsidR="00815B78" w:rsidRPr="00DB1CE0" w:rsidRDefault="00815B78" w:rsidP="00815B78">
      <w:pPr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15338279" w14:textId="77777777" w:rsidR="00815B78" w:rsidRPr="00DB1CE0" w:rsidRDefault="00815B78" w:rsidP="00815B78">
      <w:pPr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DB1CE0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742119D8" w14:textId="77777777" w:rsidR="00815B78" w:rsidRPr="00DB1CE0" w:rsidRDefault="00815B78" w:rsidP="00815B78">
      <w:pPr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</w:p>
    <w:p w14:paraId="34E97505" w14:textId="77777777" w:rsidR="00815B78" w:rsidRPr="00DB1CE0" w:rsidRDefault="00815B78" w:rsidP="00815B78">
      <w:pPr>
        <w:spacing w:line="620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DB1CE0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7B3B1CE6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第1期  2021年3月25日—28日（25日报到）  杭州市</w:t>
      </w:r>
    </w:p>
    <w:p w14:paraId="25D0ACD3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第2期  2021年4月22日—25日（22日报到）  桂林市 </w:t>
      </w:r>
    </w:p>
    <w:p w14:paraId="5182EB80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第3期  2021年5月20日—23日（20日报到）  厦门市</w:t>
      </w:r>
    </w:p>
    <w:p w14:paraId="269166F7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第4期  2021年6月17日—20日（17日报到）  昆明市</w:t>
      </w:r>
    </w:p>
    <w:p w14:paraId="3327E6ED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第5期  2021年7月15日—18日（15日报到）  大连市</w:t>
      </w:r>
    </w:p>
    <w:p w14:paraId="1CD2D9BB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第6期  2021年8月12日—15日（12日报到）  贵阳市</w:t>
      </w:r>
    </w:p>
    <w:p w14:paraId="5FF7A749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第7期  2021年9月23日—26日（23日报到）  南京市</w:t>
      </w:r>
    </w:p>
    <w:p w14:paraId="3AD978E1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第8期  2021年10月21日—24日（21日报到） 成都市 </w:t>
      </w:r>
    </w:p>
    <w:p w14:paraId="43FF3604" w14:textId="7777777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第9期  2021年11月18日—21日（18日报到） 广州市</w:t>
      </w:r>
    </w:p>
    <w:p w14:paraId="30C80EF8" w14:textId="0A638767" w:rsidR="00815B78" w:rsidRPr="00731FC3" w:rsidRDefault="00815B78" w:rsidP="00815B78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第10期 2021年12月10日—13日（10日报到）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 </w:t>
      </w:r>
      <w:r w:rsidRPr="00731FC3">
        <w:rPr>
          <w:rFonts w:ascii="仿宋" w:eastAsia="仿宋" w:hAnsi="仿宋" w:cs="仿宋_GB2312" w:hint="eastAsia"/>
          <w:color w:val="000000"/>
          <w:sz w:val="30"/>
          <w:szCs w:val="30"/>
        </w:rPr>
        <w:t>三亚市</w:t>
      </w:r>
    </w:p>
    <w:p w14:paraId="05F31FEE" w14:textId="77777777" w:rsidR="00815B78" w:rsidRPr="00DB1CE0" w:rsidRDefault="00815B78" w:rsidP="00815B78">
      <w:pPr>
        <w:spacing w:line="62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5B1CAD26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color w:val="000000"/>
          <w:sz w:val="30"/>
          <w:szCs w:val="30"/>
        </w:rPr>
        <w:t>财政部、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中国</w:t>
      </w:r>
      <w:r w:rsidRPr="00DB1CE0">
        <w:rPr>
          <w:rFonts w:ascii="仿宋" w:eastAsia="仿宋" w:hAnsi="仿宋" w:cs="仿宋_GB2312" w:hint="eastAsia"/>
          <w:color w:val="000000"/>
          <w:sz w:val="30"/>
          <w:szCs w:val="30"/>
        </w:rPr>
        <w:t>银保监会参与会计准则制定的相关专家，著名银行业金融机构中实战经验丰富的总会计师、首席财务官等，中</w:t>
      </w:r>
      <w:r w:rsidRPr="00DB1CE0"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国财政科学研究院、国家会计学院、知名财经高等院校，四大会计师事务所的权威专家和全国会计领军人才等。</w:t>
      </w:r>
    </w:p>
    <w:p w14:paraId="762B73C7" w14:textId="77777777" w:rsidR="00815B78" w:rsidRPr="00DB1CE0" w:rsidRDefault="00815B78" w:rsidP="00815B78">
      <w:pPr>
        <w:spacing w:line="62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三、参训对象</w:t>
      </w:r>
    </w:p>
    <w:p w14:paraId="7C05857C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</w:t>
      </w:r>
      <w:proofErr w:type="gramStart"/>
      <w:r>
        <w:rPr>
          <w:rFonts w:ascii="仿宋" w:eastAsia="仿宋" w:hAnsi="仿宋" w:cs="仿宋_GB2312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sz w:val="30"/>
          <w:szCs w:val="30"/>
        </w:rPr>
        <w:t>)银行业财务管理工作分管领导，财务部、运营管理部、</w:t>
      </w:r>
      <w:proofErr w:type="gramStart"/>
      <w:r>
        <w:rPr>
          <w:rFonts w:ascii="仿宋" w:eastAsia="仿宋" w:hAnsi="仿宋" w:cs="仿宋_GB2312" w:hint="eastAsia"/>
          <w:color w:val="000000"/>
          <w:sz w:val="30"/>
          <w:szCs w:val="30"/>
        </w:rPr>
        <w:t>风控部</w:t>
      </w:r>
      <w:proofErr w:type="gramEnd"/>
      <w:r>
        <w:rPr>
          <w:rFonts w:ascii="仿宋" w:eastAsia="仿宋" w:hAnsi="仿宋" w:cs="仿宋_GB2312" w:hint="eastAsia"/>
          <w:color w:val="000000"/>
          <w:sz w:val="30"/>
          <w:szCs w:val="30"/>
        </w:rPr>
        <w:t>、资产管理部、信贷部、信息技术部等负责人和业务骨干。</w:t>
      </w:r>
    </w:p>
    <w:p w14:paraId="7ADEF156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(二)监管机构和行业组织相关业务负责人。</w:t>
      </w:r>
    </w:p>
    <w:p w14:paraId="55DD63DB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(三)</w:t>
      </w:r>
      <w:r w:rsidRPr="00DB1CE0">
        <w:rPr>
          <w:rFonts w:ascii="仿宋" w:eastAsia="仿宋" w:hAnsi="仿宋" w:cs="仿宋_GB2312" w:hint="eastAsia"/>
          <w:color w:val="000000"/>
          <w:sz w:val="30"/>
          <w:szCs w:val="30"/>
        </w:rPr>
        <w:t>各高等院校从事会计教学的教师、专业带头人和科研人员。</w:t>
      </w:r>
    </w:p>
    <w:p w14:paraId="294CACE4" w14:textId="77777777" w:rsidR="00815B78" w:rsidRPr="00DB1CE0" w:rsidRDefault="00815B78" w:rsidP="00815B78">
      <w:pPr>
        <w:spacing w:line="62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DB1CE0">
        <w:rPr>
          <w:rFonts w:ascii="仿宋" w:eastAsia="仿宋" w:hAnsi="仿宋" w:hint="eastAsia"/>
          <w:b/>
          <w:sz w:val="30"/>
          <w:szCs w:val="30"/>
        </w:rPr>
        <w:t>四、培训课程</w:t>
      </w:r>
    </w:p>
    <w:p w14:paraId="7D91629E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</w:t>
      </w:r>
      <w:proofErr w:type="gramStart"/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一</w:t>
      </w:r>
      <w:proofErr w:type="gramEnd"/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：银行业会计准则发展趋势解读</w:t>
      </w:r>
    </w:p>
    <w:p w14:paraId="4D8145A7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新发展阶段经济金融形势及银行运行情况</w:t>
      </w:r>
    </w:p>
    <w:p w14:paraId="7359F40D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国际财务报告准则的全面改革和修订动态</w:t>
      </w:r>
    </w:p>
    <w:p w14:paraId="5CF49580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我国会计准则国际趋同及未来发展趋势</w:t>
      </w:r>
    </w:p>
    <w:p w14:paraId="2E18363A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模块二：新金融工具准则解读与应用</w:t>
      </w:r>
    </w:p>
    <w:p w14:paraId="71E52A08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新金融工具准则22号、23号、24号和37号解读</w:t>
      </w:r>
    </w:p>
    <w:p w14:paraId="7F8A625F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新金融工具准则应用指南重点内容解析</w:t>
      </w:r>
    </w:p>
    <w:p w14:paraId="7AECE53F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金融工具分类与计量</w:t>
      </w:r>
    </w:p>
    <w:p w14:paraId="6D23A323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金融工具减值的预期信用损失模型</w:t>
      </w:r>
    </w:p>
    <w:p w14:paraId="0B365C4C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金融资产转移、相应会计处理及保理、资产证券化</w:t>
      </w:r>
    </w:p>
    <w:p w14:paraId="3F7F7659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套期会计准则新旧变化</w:t>
      </w:r>
    </w:p>
    <w:p w14:paraId="17EC0AA7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金融工具列报</w:t>
      </w:r>
    </w:p>
    <w:p w14:paraId="556165BC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模块三：银行业收入、租赁会计准则解读与应用</w:t>
      </w:r>
    </w:p>
    <w:p w14:paraId="1488B890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新收入准则、新租赁准则全面解读</w:t>
      </w:r>
    </w:p>
    <w:p w14:paraId="5C1D28EE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收入准则应用案例分析</w:t>
      </w:r>
    </w:p>
    <w:p w14:paraId="65B80A46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租赁准则应用案例分析</w:t>
      </w:r>
    </w:p>
    <w:p w14:paraId="606F1B22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模块四：其他新会计准则、解释及规定解读与应用</w:t>
      </w:r>
    </w:p>
    <w:p w14:paraId="2170E349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非货币性资产交换、债务重组等新准则解读与应用</w:t>
      </w:r>
    </w:p>
    <w:p w14:paraId="02CC2BA2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企业会计准则解释第 1号至第 14 号解读与应用</w:t>
      </w:r>
    </w:p>
    <w:p w14:paraId="6DB29D99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《永续债相关会计处理的规定》等规定解读与应用</w:t>
      </w:r>
    </w:p>
    <w:p w14:paraId="7854D5D1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新企业会计准则体系下的涉税应对</w:t>
      </w:r>
    </w:p>
    <w:p w14:paraId="699B9E98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DB1CE0">
        <w:rPr>
          <w:rFonts w:ascii="仿宋" w:eastAsia="仿宋" w:hAnsi="仿宋" w:cs="仿宋_GB2312"/>
          <w:bCs/>
          <w:color w:val="000000"/>
          <w:sz w:val="30"/>
          <w:szCs w:val="30"/>
        </w:rPr>
        <w:t>新准则与银行业商业模式、投融资变革</w:t>
      </w:r>
    </w:p>
    <w:p w14:paraId="12202E2C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模块五：银行业财会卓越领导力提升专题</w:t>
      </w:r>
    </w:p>
    <w:p w14:paraId="7798189C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战略思维、创新思维、底线思维</w:t>
      </w:r>
    </w:p>
    <w:p w14:paraId="20F51594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领导力与执行力</w:t>
      </w:r>
    </w:p>
    <w:p w14:paraId="7549A0CF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模块六：业务交流</w:t>
      </w:r>
    </w:p>
    <w:p w14:paraId="24AB216F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从业经验交流</w:t>
      </w:r>
    </w:p>
    <w:p w14:paraId="542E5918" w14:textId="77777777" w:rsidR="00815B78" w:rsidRPr="00DB1CE0" w:rsidRDefault="00815B78" w:rsidP="00815B78">
      <w:pPr>
        <w:adjustRightInd w:val="0"/>
        <w:snapToGrid w:val="0"/>
        <w:spacing w:line="620" w:lineRule="exact"/>
        <w:ind w:firstLineChars="200" w:firstLine="600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DB1CE0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DB1CE0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专家及与会代表现场点评</w:t>
      </w:r>
    </w:p>
    <w:p w14:paraId="111CC949" w14:textId="77777777" w:rsidR="00815B78" w:rsidRPr="00DB1CE0" w:rsidRDefault="00815B78" w:rsidP="00815B78">
      <w:pPr>
        <w:spacing w:line="62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DB1CE0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1862A7A6" w14:textId="77777777" w:rsidR="00815B78" w:rsidRPr="00DB1CE0" w:rsidRDefault="00815B78" w:rsidP="00815B78">
      <w:pPr>
        <w:spacing w:line="62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DB1CE0">
        <w:rPr>
          <w:rFonts w:ascii="仿宋" w:eastAsia="仿宋" w:hAnsi="仿宋" w:hint="eastAsia"/>
          <w:color w:val="000000"/>
          <w:sz w:val="30"/>
          <w:szCs w:val="30"/>
        </w:rPr>
        <w:t xml:space="preserve">培训班学习期满，颁发中国总会计师协会《培训结业证书》。  </w:t>
      </w:r>
    </w:p>
    <w:p w14:paraId="1BC652A4" w14:textId="77777777" w:rsidR="00815B78" w:rsidRPr="00EF12F3" w:rsidRDefault="00815B78" w:rsidP="00815B78">
      <w:pPr>
        <w:spacing w:line="620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225D0E0F" w14:textId="77777777" w:rsidR="00815B78" w:rsidRDefault="00815B78" w:rsidP="00815B78">
      <w:pPr>
        <w:spacing w:line="62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lastRenderedPageBreak/>
        <w:t>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 w14:paraId="66F11CEE" w14:textId="77777777" w:rsidR="00815B78" w:rsidRPr="00EF12F3" w:rsidRDefault="00815B78" w:rsidP="00815B78">
      <w:pPr>
        <w:spacing w:line="620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4AEFBB3D" w14:textId="77777777" w:rsidR="00815B78" w:rsidRPr="00EF12F3" w:rsidRDefault="00815B78" w:rsidP="00815B78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</w:t>
      </w:r>
      <w:proofErr w:type="gramStart"/>
      <w:r w:rsidRPr="00EF12F3">
        <w:rPr>
          <w:rFonts w:ascii="仿宋" w:eastAsia="仿宋" w:hAnsi="仿宋" w:hint="eastAsia"/>
          <w:color w:val="000000"/>
          <w:sz w:val="30"/>
          <w:szCs w:val="30"/>
        </w:rPr>
        <w:t>一</w:t>
      </w:r>
      <w:proofErr w:type="gramEnd"/>
      <w:r w:rsidRPr="00EF12F3">
        <w:rPr>
          <w:rFonts w:ascii="仿宋" w:eastAsia="仿宋" w:hAnsi="仿宋" w:hint="eastAsia"/>
          <w:color w:val="000000"/>
          <w:sz w:val="30"/>
          <w:szCs w:val="30"/>
        </w:rPr>
        <w:t>)培训班相关信息和报名表格请见中国总会计师协会网站（http://www.cacfo.com/）培训工作专栏；</w:t>
      </w:r>
    </w:p>
    <w:p w14:paraId="69EEF8C3" w14:textId="77777777" w:rsidR="00815B78" w:rsidRPr="00EF12F3" w:rsidRDefault="00815B78" w:rsidP="00815B78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0FCA365F" w14:textId="77777777" w:rsidR="00815B78" w:rsidRDefault="00815B78" w:rsidP="00815B78">
      <w:pPr>
        <w:spacing w:line="62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5B9492B5" w14:textId="77777777" w:rsidR="00815B78" w:rsidRDefault="00815B78" w:rsidP="00815B78">
      <w:pPr>
        <w:spacing w:line="62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微信同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号）  88191832（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中总协培训部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）</w:t>
      </w:r>
    </w:p>
    <w:p w14:paraId="6DCD0C6F" w14:textId="77777777" w:rsidR="00815B78" w:rsidRDefault="00815B78" w:rsidP="00815B78">
      <w:pPr>
        <w:spacing w:line="62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6E62E0A1" w14:textId="77777777" w:rsidR="00815B78" w:rsidRDefault="00815B78" w:rsidP="00815B78">
      <w:pPr>
        <w:spacing w:line="62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49C80C09" w14:textId="62506650" w:rsidR="00D25BB7" w:rsidRDefault="00815B78" w:rsidP="00815B78">
      <w:pPr>
        <w:ind w:firstLineChars="200" w:firstLine="600"/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联 系 人：徐黎明  周正  谢祥龙  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桑立强</w:t>
      </w:r>
      <w:proofErr w:type="gramEnd"/>
    </w:p>
    <w:sectPr w:rsidR="00D2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8"/>
    <w:rsid w:val="00815B78"/>
    <w:rsid w:val="00D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2ED4"/>
  <w15:chartTrackingRefBased/>
  <w15:docId w15:val="{92229A88-291A-4544-BF71-EA305462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7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2021-02-19T06:10:00Z</dcterms:created>
  <dcterms:modified xsi:type="dcterms:W3CDTF">2021-02-19T06:11:00Z</dcterms:modified>
</cp:coreProperties>
</file>