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2BEBB" w14:textId="77777777" w:rsidR="003F7703" w:rsidRDefault="003F7703" w:rsidP="003F7703">
      <w:pPr>
        <w:tabs>
          <w:tab w:val="left" w:pos="4820"/>
        </w:tabs>
        <w:spacing w:line="480" w:lineRule="exact"/>
        <w:rPr>
          <w:rFonts w:ascii="仿宋_GB2312" w:eastAsia="仿宋_GB2312"/>
          <w:b/>
          <w:sz w:val="28"/>
          <w:szCs w:val="28"/>
        </w:rPr>
      </w:pPr>
      <w:r>
        <w:rPr>
          <w:rFonts w:ascii="仿宋_GB2312" w:eastAsia="仿宋_GB2312" w:hint="eastAsia"/>
          <w:sz w:val="28"/>
          <w:szCs w:val="28"/>
        </w:rPr>
        <w:t>附件:2</w:t>
      </w:r>
    </w:p>
    <w:p w14:paraId="46ABB957" w14:textId="77777777" w:rsidR="003F7703" w:rsidRDefault="003F7703" w:rsidP="003F7703">
      <w:pPr>
        <w:spacing w:line="480" w:lineRule="exact"/>
        <w:jc w:val="center"/>
        <w:rPr>
          <w:rFonts w:ascii="宋体" w:hAnsi="宋体"/>
          <w:b/>
          <w:sz w:val="32"/>
          <w:szCs w:val="32"/>
        </w:rPr>
      </w:pPr>
      <w:r>
        <w:rPr>
          <w:rFonts w:ascii="宋体" w:hAnsi="宋体" w:hint="eastAsia"/>
          <w:b/>
          <w:sz w:val="32"/>
          <w:szCs w:val="32"/>
        </w:rPr>
        <w:t>2021年《数字经济时代的财务转型与业财融合暨管理会计能力提升系列专题培训班》课程大纲</w:t>
      </w:r>
    </w:p>
    <w:p w14:paraId="44F21B4B" w14:textId="77777777" w:rsidR="003F7703" w:rsidRDefault="003F7703" w:rsidP="003F7703">
      <w:pPr>
        <w:spacing w:beforeLines="30" w:before="93" w:afterLines="30" w:after="93" w:line="480" w:lineRule="exact"/>
        <w:ind w:firstLineChars="147" w:firstLine="413"/>
        <w:rPr>
          <w:rFonts w:ascii="仿宋_GB2312" w:eastAsia="仿宋_GB2312" w:hAnsi="宋体"/>
          <w:b/>
          <w:bCs/>
          <w:sz w:val="28"/>
          <w:szCs w:val="28"/>
        </w:rPr>
      </w:pPr>
      <w:r>
        <w:rPr>
          <w:rFonts w:ascii="仿宋_GB2312" w:eastAsia="仿宋_GB2312" w:hAnsi="宋体" w:hint="eastAsia"/>
          <w:b/>
          <w:bCs/>
          <w:sz w:val="28"/>
          <w:szCs w:val="28"/>
        </w:rPr>
        <w:t>专题</w:t>
      </w:r>
      <w:proofErr w:type="gramStart"/>
      <w:r>
        <w:rPr>
          <w:rFonts w:ascii="仿宋_GB2312" w:eastAsia="仿宋_GB2312" w:hAnsi="宋体" w:hint="eastAsia"/>
          <w:b/>
          <w:bCs/>
          <w:sz w:val="28"/>
          <w:szCs w:val="28"/>
        </w:rPr>
        <w:t>一</w:t>
      </w:r>
      <w:proofErr w:type="gramEnd"/>
      <w:r>
        <w:rPr>
          <w:rFonts w:ascii="仿宋_GB2312" w:eastAsia="仿宋_GB2312" w:hAnsi="宋体" w:hint="eastAsia"/>
          <w:b/>
          <w:bCs/>
          <w:sz w:val="28"/>
          <w:szCs w:val="28"/>
        </w:rPr>
        <w:t>：公司财务战略管理与商业模式创新专题</w:t>
      </w:r>
    </w:p>
    <w:p w14:paraId="170DDA2D" w14:textId="77777777" w:rsidR="003F7703" w:rsidRDefault="003F7703" w:rsidP="003F7703">
      <w:pPr>
        <w:numPr>
          <w:ilvl w:val="0"/>
          <w:numId w:val="1"/>
        </w:numPr>
        <w:tabs>
          <w:tab w:val="left" w:pos="1620"/>
          <w:tab w:val="left" w:pos="1800"/>
        </w:tabs>
        <w:spacing w:line="460" w:lineRule="exact"/>
        <w:ind w:firstLineChars="147" w:firstLine="413"/>
        <w:jc w:val="left"/>
        <w:rPr>
          <w:rFonts w:ascii="仿宋_GB2312" w:eastAsia="仿宋_GB2312" w:hAnsi="宋体"/>
          <w:b/>
          <w:bCs/>
          <w:sz w:val="28"/>
          <w:szCs w:val="28"/>
        </w:rPr>
      </w:pPr>
      <w:r>
        <w:rPr>
          <w:rFonts w:ascii="仿宋_GB2312" w:eastAsia="仿宋_GB2312" w:hAnsi="宋体" w:hint="eastAsia"/>
          <w:b/>
          <w:bCs/>
          <w:sz w:val="28"/>
          <w:szCs w:val="28"/>
        </w:rPr>
        <w:t>公司财务战略管理</w:t>
      </w:r>
    </w:p>
    <w:p w14:paraId="0977A03B"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公司财务战略管理观念的建立</w:t>
      </w:r>
    </w:p>
    <w:p w14:paraId="4D4AAD88"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公司财务战略管理的基础</w:t>
      </w:r>
    </w:p>
    <w:p w14:paraId="44F019CA"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公司财务战略管理的特征</w:t>
      </w:r>
    </w:p>
    <w:p w14:paraId="4A1A3CFD"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公司财务战略管理对传统财务管理的挑战</w:t>
      </w:r>
    </w:p>
    <w:p w14:paraId="6BA2913F"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公司财务战略管理研究方法与过程</w:t>
      </w:r>
    </w:p>
    <w:p w14:paraId="56AB07D6"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公司生命周期财务战略管理</w:t>
      </w:r>
    </w:p>
    <w:p w14:paraId="7A587095" w14:textId="77777777" w:rsidR="003F7703" w:rsidRDefault="003F7703" w:rsidP="003F7703">
      <w:pPr>
        <w:spacing w:line="460" w:lineRule="exact"/>
        <w:ind w:leftChars="200" w:left="420"/>
        <w:jc w:val="left"/>
        <w:rPr>
          <w:rFonts w:ascii="仿宋_GB2312" w:eastAsia="仿宋_GB2312"/>
          <w:b/>
          <w:sz w:val="28"/>
          <w:szCs w:val="28"/>
        </w:rPr>
      </w:pPr>
      <w:r>
        <w:rPr>
          <w:rFonts w:ascii="仿宋_GB2312" w:eastAsia="仿宋_GB2312" w:hAnsi="宋体" w:hint="eastAsia"/>
          <w:b/>
          <w:bCs/>
          <w:sz w:val="28"/>
          <w:szCs w:val="28"/>
        </w:rPr>
        <w:t>（二）</w:t>
      </w:r>
      <w:r>
        <w:rPr>
          <w:rFonts w:ascii="仿宋_GB2312" w:eastAsia="仿宋_GB2312" w:hint="eastAsia"/>
          <w:b/>
          <w:sz w:val="28"/>
          <w:szCs w:val="28"/>
        </w:rPr>
        <w:t>通过商业模式打造企业盈利系统</w:t>
      </w:r>
    </w:p>
    <w:p w14:paraId="2DE40E26"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移动互联时代对商业模式的颠覆</w:t>
      </w:r>
    </w:p>
    <w:p w14:paraId="20FF91C3"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商业模式创新与跨行业竞争模式</w:t>
      </w:r>
    </w:p>
    <w:p w14:paraId="0787A409"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通过商业模式全面改善现金流</w:t>
      </w:r>
    </w:p>
    <w:p w14:paraId="79AC979A" w14:textId="77777777" w:rsidR="003F7703" w:rsidRDefault="003F7703" w:rsidP="003F7703">
      <w:pPr>
        <w:spacing w:line="460" w:lineRule="exact"/>
        <w:ind w:left="817"/>
        <w:jc w:val="left"/>
        <w:rPr>
          <w:rFonts w:ascii="仿宋_GB2312" w:eastAsia="仿宋_GB2312" w:hAnsi="宋体"/>
          <w:sz w:val="28"/>
          <w:szCs w:val="28"/>
        </w:rPr>
      </w:pPr>
    </w:p>
    <w:p w14:paraId="6D40E0D5" w14:textId="77777777" w:rsidR="003F7703" w:rsidRDefault="003F7703" w:rsidP="003F7703">
      <w:pPr>
        <w:spacing w:beforeLines="30" w:before="93" w:afterLines="30" w:after="93" w:line="480" w:lineRule="exact"/>
        <w:ind w:firstLineChars="147" w:firstLine="413"/>
        <w:rPr>
          <w:rFonts w:ascii="仿宋_GB2312" w:eastAsia="仿宋_GB2312" w:hAnsi="宋体"/>
          <w:b/>
          <w:bCs/>
          <w:sz w:val="28"/>
          <w:szCs w:val="28"/>
        </w:rPr>
      </w:pPr>
      <w:r>
        <w:rPr>
          <w:rFonts w:ascii="仿宋_GB2312" w:eastAsia="仿宋_GB2312" w:hAnsi="宋体" w:hint="eastAsia"/>
          <w:b/>
          <w:bCs/>
          <w:sz w:val="28"/>
          <w:szCs w:val="28"/>
        </w:rPr>
        <w:t>专题二：</w:t>
      </w:r>
      <w:proofErr w:type="gramStart"/>
      <w:r>
        <w:rPr>
          <w:rFonts w:ascii="仿宋_GB2312" w:eastAsia="仿宋_GB2312" w:hAnsi="宋体" w:hint="eastAsia"/>
          <w:b/>
          <w:bCs/>
          <w:sz w:val="28"/>
          <w:szCs w:val="28"/>
        </w:rPr>
        <w:t>业财融合</w:t>
      </w:r>
      <w:proofErr w:type="gramEnd"/>
      <w:r>
        <w:rPr>
          <w:rFonts w:ascii="仿宋_GB2312" w:eastAsia="仿宋_GB2312" w:hAnsi="宋体" w:hint="eastAsia"/>
          <w:b/>
          <w:bCs/>
          <w:sz w:val="28"/>
          <w:szCs w:val="28"/>
        </w:rPr>
        <w:t>与管理会计价值创造-管理会计落地专题</w:t>
      </w:r>
    </w:p>
    <w:p w14:paraId="6CFE4F2D" w14:textId="77777777" w:rsidR="003F7703" w:rsidRDefault="003F7703" w:rsidP="003F7703">
      <w:pPr>
        <w:numPr>
          <w:ilvl w:val="0"/>
          <w:numId w:val="3"/>
        </w:numPr>
        <w:spacing w:line="400" w:lineRule="exact"/>
        <w:ind w:firstLineChars="147" w:firstLine="413"/>
        <w:jc w:val="left"/>
        <w:rPr>
          <w:rFonts w:ascii="仿宋_GB2312" w:eastAsia="仿宋_GB2312" w:hAnsi="宋体"/>
          <w:b/>
          <w:bCs/>
          <w:sz w:val="28"/>
          <w:szCs w:val="28"/>
        </w:rPr>
      </w:pPr>
      <w:r>
        <w:rPr>
          <w:rFonts w:ascii="仿宋_GB2312" w:eastAsia="仿宋_GB2312" w:hAnsi="宋体" w:hint="eastAsia"/>
          <w:b/>
          <w:bCs/>
          <w:sz w:val="28"/>
          <w:szCs w:val="28"/>
        </w:rPr>
        <w:t>管理会计定位与业务财务职能</w:t>
      </w:r>
    </w:p>
    <w:p w14:paraId="73305EAA"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财务会计转型与管理会计技能</w:t>
      </w:r>
    </w:p>
    <w:p w14:paraId="21ACA090"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财务战略与发展战略的统一</w:t>
      </w:r>
    </w:p>
    <w:p w14:paraId="76987114"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战略财务管理与业务财务职能</w:t>
      </w:r>
    </w:p>
    <w:p w14:paraId="5136F204" w14:textId="77777777" w:rsidR="003F7703" w:rsidRDefault="003F7703" w:rsidP="003F7703">
      <w:pPr>
        <w:numPr>
          <w:ilvl w:val="0"/>
          <w:numId w:val="3"/>
        </w:numPr>
        <w:spacing w:line="400" w:lineRule="exact"/>
        <w:ind w:firstLineChars="147" w:firstLine="413"/>
        <w:jc w:val="left"/>
        <w:rPr>
          <w:rFonts w:ascii="仿宋_GB2312" w:eastAsia="仿宋_GB2312" w:hAnsi="宋体"/>
          <w:b/>
          <w:bCs/>
          <w:sz w:val="28"/>
          <w:szCs w:val="28"/>
        </w:rPr>
      </w:pPr>
      <w:r>
        <w:rPr>
          <w:rFonts w:ascii="仿宋_GB2312" w:eastAsia="仿宋_GB2312" w:hAnsi="宋体" w:hint="eastAsia"/>
          <w:b/>
          <w:bCs/>
          <w:sz w:val="28"/>
          <w:szCs w:val="28"/>
        </w:rPr>
        <w:t>业务财务价值实现</w:t>
      </w:r>
    </w:p>
    <w:p w14:paraId="43EF7711"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业务财务的职能与四维价值</w:t>
      </w:r>
    </w:p>
    <w:p w14:paraId="54B7AB6E"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业务财务的组织建立与绩效评价</w:t>
      </w:r>
    </w:p>
    <w:p w14:paraId="25387627"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业务财务实施技能与案例解析</w:t>
      </w:r>
    </w:p>
    <w:p w14:paraId="02196BD2" w14:textId="77777777" w:rsidR="003F7703" w:rsidRDefault="003F7703" w:rsidP="003F7703">
      <w:pPr>
        <w:numPr>
          <w:ilvl w:val="0"/>
          <w:numId w:val="3"/>
        </w:numPr>
        <w:spacing w:line="400" w:lineRule="exact"/>
        <w:ind w:firstLineChars="147" w:firstLine="413"/>
        <w:jc w:val="left"/>
        <w:rPr>
          <w:rFonts w:ascii="仿宋_GB2312" w:eastAsia="仿宋_GB2312" w:hAnsi="宋体"/>
          <w:sz w:val="28"/>
          <w:szCs w:val="28"/>
        </w:rPr>
      </w:pPr>
      <w:r>
        <w:rPr>
          <w:rFonts w:ascii="仿宋_GB2312" w:eastAsia="仿宋_GB2312" w:hAnsi="宋体" w:hint="eastAsia"/>
          <w:b/>
          <w:bCs/>
          <w:sz w:val="28"/>
          <w:szCs w:val="28"/>
        </w:rPr>
        <w:t>管理会计体系设计与应用指引解析</w:t>
      </w:r>
    </w:p>
    <w:p w14:paraId="244A0CDD"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管理会计体系设计</w:t>
      </w:r>
    </w:p>
    <w:p w14:paraId="47DC4F42"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管理会计应用指引基本体例格式</w:t>
      </w:r>
    </w:p>
    <w:p w14:paraId="69D960B4"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lastRenderedPageBreak/>
        <w:t>管理会计案例</w:t>
      </w:r>
      <w:proofErr w:type="gramStart"/>
      <w:r>
        <w:rPr>
          <w:rFonts w:ascii="仿宋_GB2312" w:eastAsia="仿宋_GB2312" w:hAnsi="宋体" w:hint="eastAsia"/>
          <w:sz w:val="28"/>
          <w:szCs w:val="28"/>
        </w:rPr>
        <w:t>库特点</w:t>
      </w:r>
      <w:proofErr w:type="gramEnd"/>
      <w:r>
        <w:rPr>
          <w:rFonts w:ascii="仿宋_GB2312" w:eastAsia="仿宋_GB2312" w:hAnsi="宋体" w:hint="eastAsia"/>
          <w:sz w:val="28"/>
          <w:szCs w:val="28"/>
        </w:rPr>
        <w:t>与应用</w:t>
      </w:r>
    </w:p>
    <w:p w14:paraId="535FCF67" w14:textId="77777777" w:rsidR="003F7703" w:rsidRDefault="003F7703" w:rsidP="003F7703">
      <w:pPr>
        <w:numPr>
          <w:ilvl w:val="0"/>
          <w:numId w:val="3"/>
        </w:numPr>
        <w:spacing w:line="400" w:lineRule="exact"/>
        <w:ind w:firstLine="413"/>
        <w:jc w:val="left"/>
        <w:rPr>
          <w:rFonts w:ascii="仿宋_GB2312" w:eastAsia="仿宋_GB2312" w:hAnsi="宋体"/>
          <w:b/>
          <w:bCs/>
          <w:sz w:val="28"/>
          <w:szCs w:val="28"/>
        </w:rPr>
      </w:pPr>
      <w:proofErr w:type="gramStart"/>
      <w:r>
        <w:rPr>
          <w:rFonts w:ascii="仿宋_GB2312" w:eastAsia="仿宋_GB2312" w:hAnsi="宋体" w:hint="eastAsia"/>
          <w:b/>
          <w:bCs/>
          <w:sz w:val="28"/>
          <w:szCs w:val="28"/>
        </w:rPr>
        <w:t>业财融合</w:t>
      </w:r>
      <w:proofErr w:type="gramEnd"/>
      <w:r>
        <w:rPr>
          <w:rFonts w:ascii="仿宋_GB2312" w:eastAsia="仿宋_GB2312" w:hAnsi="宋体" w:hint="eastAsia"/>
          <w:b/>
          <w:bCs/>
          <w:sz w:val="28"/>
          <w:szCs w:val="28"/>
        </w:rPr>
        <w:t>案例</w:t>
      </w:r>
    </w:p>
    <w:p w14:paraId="1DA47F7B" w14:textId="77777777" w:rsidR="003F7703" w:rsidRDefault="003F7703" w:rsidP="003F7703">
      <w:pPr>
        <w:spacing w:line="400" w:lineRule="exact"/>
        <w:ind w:left="413"/>
        <w:jc w:val="left"/>
        <w:rPr>
          <w:rFonts w:ascii="仿宋_GB2312" w:eastAsia="仿宋_GB2312" w:hAnsi="宋体"/>
          <w:b/>
          <w:bCs/>
          <w:sz w:val="28"/>
          <w:szCs w:val="28"/>
        </w:rPr>
      </w:pPr>
    </w:p>
    <w:p w14:paraId="4ABB5C16" w14:textId="77777777" w:rsidR="003F7703" w:rsidRDefault="003F7703" w:rsidP="003F7703">
      <w:pPr>
        <w:spacing w:beforeLines="30" w:before="93" w:afterLines="30" w:after="93" w:line="480" w:lineRule="exact"/>
        <w:ind w:firstLineChars="147" w:firstLine="413"/>
        <w:rPr>
          <w:rFonts w:ascii="仿宋_GB2312" w:eastAsia="仿宋_GB2312" w:hAnsi="宋体"/>
          <w:b/>
          <w:bCs/>
          <w:sz w:val="28"/>
          <w:szCs w:val="28"/>
        </w:rPr>
      </w:pPr>
      <w:r>
        <w:rPr>
          <w:rFonts w:ascii="仿宋_GB2312" w:eastAsia="仿宋_GB2312" w:hAnsi="宋体" w:hint="eastAsia"/>
          <w:b/>
          <w:bCs/>
          <w:sz w:val="28"/>
          <w:szCs w:val="28"/>
        </w:rPr>
        <w:t>专题三：企业投融资策略与资本运营专题</w:t>
      </w:r>
    </w:p>
    <w:p w14:paraId="10C89FFF" w14:textId="77777777" w:rsidR="003F7703" w:rsidRDefault="003F7703" w:rsidP="003F7703">
      <w:pPr>
        <w:tabs>
          <w:tab w:val="left" w:pos="1620"/>
          <w:tab w:val="left" w:pos="1800"/>
        </w:tabs>
        <w:spacing w:line="400" w:lineRule="exact"/>
        <w:ind w:firstLineChars="147" w:firstLine="413"/>
        <w:jc w:val="left"/>
        <w:rPr>
          <w:rFonts w:ascii="仿宋_GB2312" w:eastAsia="仿宋_GB2312" w:hAnsi="宋体"/>
          <w:b/>
          <w:bCs/>
          <w:sz w:val="28"/>
          <w:szCs w:val="28"/>
        </w:rPr>
      </w:pPr>
      <w:r>
        <w:rPr>
          <w:rFonts w:ascii="仿宋_GB2312" w:eastAsia="仿宋_GB2312" w:hAnsi="宋体" w:hint="eastAsia"/>
          <w:b/>
          <w:bCs/>
          <w:sz w:val="28"/>
          <w:szCs w:val="28"/>
        </w:rPr>
        <w:t>（一）资本运营与最新金融形势</w:t>
      </w:r>
    </w:p>
    <w:p w14:paraId="7BAEB19B" w14:textId="77777777" w:rsidR="003F7703" w:rsidRDefault="003F7703" w:rsidP="003F7703">
      <w:pPr>
        <w:tabs>
          <w:tab w:val="left" w:pos="1620"/>
          <w:tab w:val="left" w:pos="1800"/>
        </w:tabs>
        <w:spacing w:line="480" w:lineRule="exact"/>
        <w:ind w:firstLineChars="147" w:firstLine="413"/>
        <w:jc w:val="left"/>
        <w:rPr>
          <w:rFonts w:ascii="仿宋_GB2312" w:eastAsia="仿宋_GB2312" w:hAnsi="宋体"/>
          <w:b/>
          <w:bCs/>
          <w:sz w:val="28"/>
          <w:szCs w:val="28"/>
        </w:rPr>
      </w:pPr>
      <w:r>
        <w:rPr>
          <w:rFonts w:ascii="仿宋_GB2312" w:eastAsia="仿宋_GB2312" w:hAnsi="宋体" w:hint="eastAsia"/>
          <w:b/>
          <w:bCs/>
          <w:sz w:val="28"/>
          <w:szCs w:val="28"/>
        </w:rPr>
        <w:t>（二）融资策略设计与实施</w:t>
      </w:r>
    </w:p>
    <w:p w14:paraId="77E07B72"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现行经济形势下企业投融资风险分析</w:t>
      </w:r>
    </w:p>
    <w:p w14:paraId="79ECB33B"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融资前的需求分析与评估</w:t>
      </w:r>
    </w:p>
    <w:p w14:paraId="08A4D127"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融资渠道与方法的选择技巧</w:t>
      </w:r>
    </w:p>
    <w:p w14:paraId="35F87C3E"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融资常见问题与对策</w:t>
      </w:r>
    </w:p>
    <w:p w14:paraId="18C31D69"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私</w:t>
      </w:r>
      <w:proofErr w:type="gramStart"/>
      <w:r>
        <w:rPr>
          <w:rFonts w:ascii="仿宋_GB2312" w:eastAsia="仿宋_GB2312" w:hAnsi="宋体" w:hint="eastAsia"/>
          <w:sz w:val="28"/>
          <w:szCs w:val="28"/>
        </w:rPr>
        <w:t>募股权</w:t>
      </w:r>
      <w:proofErr w:type="gramEnd"/>
      <w:r>
        <w:rPr>
          <w:rFonts w:ascii="仿宋_GB2312" w:eastAsia="仿宋_GB2312" w:hAnsi="宋体" w:hint="eastAsia"/>
          <w:sz w:val="28"/>
          <w:szCs w:val="28"/>
        </w:rPr>
        <w:t>融资的应用过程</w:t>
      </w:r>
    </w:p>
    <w:p w14:paraId="104BF22E"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股权融资的技术问题</w:t>
      </w:r>
    </w:p>
    <w:p w14:paraId="4C96888E" w14:textId="77777777" w:rsidR="003F7703" w:rsidRDefault="003F7703" w:rsidP="003F7703">
      <w:pPr>
        <w:tabs>
          <w:tab w:val="left" w:pos="1620"/>
          <w:tab w:val="left" w:pos="1800"/>
        </w:tabs>
        <w:spacing w:line="480" w:lineRule="exact"/>
        <w:ind w:firstLineChars="147" w:firstLine="413"/>
        <w:jc w:val="left"/>
        <w:rPr>
          <w:rFonts w:ascii="仿宋_GB2312" w:eastAsia="仿宋_GB2312" w:hAnsi="宋体"/>
          <w:b/>
          <w:bCs/>
          <w:sz w:val="28"/>
          <w:szCs w:val="28"/>
        </w:rPr>
      </w:pPr>
      <w:r>
        <w:rPr>
          <w:rFonts w:ascii="仿宋_GB2312" w:eastAsia="仿宋_GB2312" w:hAnsi="宋体" w:hint="eastAsia"/>
          <w:b/>
          <w:bCs/>
          <w:sz w:val="28"/>
          <w:szCs w:val="28"/>
        </w:rPr>
        <w:t>（三）投资项目实施</w:t>
      </w:r>
    </w:p>
    <w:p w14:paraId="4601921E"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投资项目优劣的标准</w:t>
      </w:r>
    </w:p>
    <w:p w14:paraId="454F5D45"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投资分析的主要工具及方法</w:t>
      </w:r>
    </w:p>
    <w:p w14:paraId="10B9E7C7"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财务数据分析与风险识别</w:t>
      </w:r>
    </w:p>
    <w:p w14:paraId="46FD6A40"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建立正确有效的评估体系</w:t>
      </w:r>
    </w:p>
    <w:p w14:paraId="02E1F27E" w14:textId="77777777" w:rsidR="003F7703" w:rsidRDefault="003F7703" w:rsidP="003F7703">
      <w:pPr>
        <w:spacing w:line="480" w:lineRule="exact"/>
        <w:ind w:left="817"/>
        <w:jc w:val="left"/>
        <w:rPr>
          <w:rFonts w:ascii="仿宋_GB2312" w:eastAsia="仿宋_GB2312" w:hAnsi="宋体"/>
          <w:sz w:val="28"/>
          <w:szCs w:val="28"/>
        </w:rPr>
      </w:pPr>
    </w:p>
    <w:p w14:paraId="31208C10" w14:textId="77777777" w:rsidR="003F7703" w:rsidRDefault="003F7703" w:rsidP="003F7703">
      <w:pPr>
        <w:spacing w:beforeLines="30" w:before="93" w:afterLines="30" w:after="93" w:line="480" w:lineRule="exact"/>
        <w:ind w:firstLineChars="147" w:firstLine="413"/>
        <w:rPr>
          <w:rFonts w:ascii="仿宋_GB2312" w:eastAsia="仿宋_GB2312"/>
          <w:b/>
          <w:sz w:val="28"/>
          <w:szCs w:val="28"/>
        </w:rPr>
      </w:pPr>
      <w:r>
        <w:rPr>
          <w:rFonts w:ascii="仿宋_GB2312" w:eastAsia="仿宋_GB2312" w:hAnsi="宋体" w:hint="eastAsia"/>
          <w:b/>
          <w:bCs/>
          <w:sz w:val="28"/>
          <w:szCs w:val="28"/>
        </w:rPr>
        <w:t>专题四：财务共享中心的运营与优化和人工智能技术应用专题</w:t>
      </w:r>
    </w:p>
    <w:p w14:paraId="48AA15CF" w14:textId="77777777" w:rsidR="003F7703" w:rsidRDefault="003F7703" w:rsidP="003F7703">
      <w:pPr>
        <w:spacing w:line="460" w:lineRule="exact"/>
        <w:ind w:leftChars="200" w:left="420"/>
        <w:jc w:val="left"/>
        <w:rPr>
          <w:rFonts w:ascii="仿宋_GB2312" w:eastAsia="仿宋_GB2312"/>
          <w:b/>
          <w:sz w:val="28"/>
          <w:szCs w:val="28"/>
        </w:rPr>
      </w:pPr>
      <w:r>
        <w:rPr>
          <w:rFonts w:ascii="仿宋_GB2312" w:eastAsia="仿宋_GB2312" w:hAnsi="宋体" w:hint="eastAsia"/>
          <w:b/>
          <w:bCs/>
          <w:sz w:val="28"/>
          <w:szCs w:val="28"/>
        </w:rPr>
        <w:t>（一）财务管理信息化智能化趋势与应用</w:t>
      </w:r>
    </w:p>
    <w:p w14:paraId="4013886E"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财务管理信息化现状与趋势</w:t>
      </w:r>
    </w:p>
    <w:p w14:paraId="4865C2D2"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人工智能技术发展趋势</w:t>
      </w:r>
    </w:p>
    <w:p w14:paraId="02EFCA7C"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人工智能技术在财务领域</w:t>
      </w:r>
      <w:r>
        <w:rPr>
          <w:rFonts w:asciiTheme="minorHAnsi" w:eastAsia="仿宋_GB2312" w:hAnsiTheme="minorHAnsi" w:hint="eastAsia"/>
          <w:sz w:val="28"/>
          <w:szCs w:val="28"/>
        </w:rPr>
        <w:t>的</w:t>
      </w:r>
      <w:r>
        <w:rPr>
          <w:rFonts w:ascii="仿宋_GB2312" w:eastAsia="仿宋_GB2312" w:hAnsi="宋体" w:hint="eastAsia"/>
          <w:sz w:val="28"/>
          <w:szCs w:val="28"/>
        </w:rPr>
        <w:t>应</w:t>
      </w:r>
      <w:r>
        <w:rPr>
          <w:rFonts w:asciiTheme="minorHAnsi" w:eastAsia="仿宋_GB2312" w:hAnsiTheme="minorHAnsi" w:hint="eastAsia"/>
          <w:sz w:val="28"/>
          <w:szCs w:val="28"/>
        </w:rPr>
        <w:t>用</w:t>
      </w:r>
      <w:r>
        <w:rPr>
          <w:rFonts w:ascii="仿宋_GB2312" w:eastAsia="仿宋_GB2312" w:hAnsi="宋体" w:hint="eastAsia"/>
          <w:sz w:val="28"/>
          <w:szCs w:val="28"/>
        </w:rPr>
        <w:t>（</w:t>
      </w:r>
      <w:r>
        <w:rPr>
          <w:rFonts w:asciiTheme="majorHAnsi" w:eastAsia="仿宋_GB2312" w:hAnsiTheme="majorHAnsi"/>
          <w:sz w:val="28"/>
          <w:szCs w:val="28"/>
        </w:rPr>
        <w:t>RPA</w:t>
      </w:r>
      <w:r>
        <w:rPr>
          <w:rFonts w:ascii="仿宋_GB2312" w:eastAsia="仿宋_GB2312" w:hAnsi="宋体"/>
          <w:sz w:val="28"/>
          <w:szCs w:val="28"/>
        </w:rPr>
        <w:t>）</w:t>
      </w:r>
    </w:p>
    <w:p w14:paraId="4437A281" w14:textId="77777777" w:rsidR="003F7703" w:rsidRDefault="003F7703" w:rsidP="003F7703">
      <w:pPr>
        <w:spacing w:line="480" w:lineRule="exact"/>
        <w:ind w:firstLineChars="147" w:firstLine="413"/>
        <w:rPr>
          <w:rFonts w:ascii="仿宋_GB2312" w:eastAsia="仿宋_GB2312" w:hAnsi="宋体"/>
          <w:b/>
          <w:bCs/>
          <w:sz w:val="28"/>
          <w:szCs w:val="28"/>
        </w:rPr>
      </w:pPr>
      <w:r>
        <w:rPr>
          <w:rFonts w:ascii="仿宋_GB2312" w:eastAsia="仿宋_GB2312" w:hAnsi="宋体" w:hint="eastAsia"/>
          <w:b/>
          <w:bCs/>
          <w:sz w:val="28"/>
          <w:szCs w:val="28"/>
        </w:rPr>
        <w:t>（二）共享中心团队建设与组织实施</w:t>
      </w:r>
    </w:p>
    <w:p w14:paraId="25621632"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明确共享服务中心的时效目标</w:t>
      </w:r>
    </w:p>
    <w:p w14:paraId="3EFA32CA"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共享中心与外包发展趋势的分析与比较</w:t>
      </w:r>
    </w:p>
    <w:p w14:paraId="1F7B32D2" w14:textId="77777777" w:rsidR="003F7703" w:rsidRDefault="003F7703" w:rsidP="003F7703">
      <w:pPr>
        <w:spacing w:line="480" w:lineRule="exact"/>
        <w:ind w:leftChars="200" w:left="420"/>
        <w:jc w:val="left"/>
        <w:rPr>
          <w:rFonts w:ascii="仿宋_GB2312" w:eastAsia="仿宋_GB2312" w:hAnsi="宋体"/>
          <w:b/>
          <w:bCs/>
          <w:sz w:val="28"/>
          <w:szCs w:val="28"/>
        </w:rPr>
      </w:pPr>
      <w:r>
        <w:rPr>
          <w:rFonts w:ascii="仿宋_GB2312" w:eastAsia="仿宋_GB2312" w:hAnsi="宋体" w:hint="eastAsia"/>
          <w:b/>
          <w:bCs/>
          <w:sz w:val="28"/>
          <w:szCs w:val="28"/>
        </w:rPr>
        <w:t>（三）财务共享服务中心运营与优化</w:t>
      </w:r>
    </w:p>
    <w:p w14:paraId="5459680C"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共享中心的体系设计与布局</w:t>
      </w:r>
    </w:p>
    <w:p w14:paraId="04F97253"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lastRenderedPageBreak/>
        <w:t>共享中心项目的操作实务</w:t>
      </w:r>
    </w:p>
    <w:p w14:paraId="70A38515"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财务共享中心价值最大化</w:t>
      </w:r>
    </w:p>
    <w:p w14:paraId="4C3579E7"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案例解析</w:t>
      </w:r>
    </w:p>
    <w:p w14:paraId="3A9275C0" w14:textId="77777777" w:rsidR="003F7703" w:rsidRDefault="003F7703" w:rsidP="003F7703">
      <w:pPr>
        <w:spacing w:beforeLines="30" w:before="93" w:afterLines="30" w:after="93" w:line="480" w:lineRule="exact"/>
        <w:ind w:firstLineChars="147" w:firstLine="413"/>
        <w:rPr>
          <w:rFonts w:ascii="仿宋_GB2312" w:eastAsia="仿宋_GB2312" w:hAnsi="宋体"/>
          <w:b/>
          <w:bCs/>
          <w:sz w:val="28"/>
          <w:szCs w:val="28"/>
        </w:rPr>
      </w:pPr>
    </w:p>
    <w:p w14:paraId="1FBC10A2" w14:textId="77777777" w:rsidR="003F7703" w:rsidRDefault="003F7703" w:rsidP="003F7703">
      <w:pPr>
        <w:spacing w:beforeLines="30" w:before="93" w:afterLines="30" w:after="93" w:line="480" w:lineRule="exact"/>
        <w:ind w:firstLineChars="147" w:firstLine="413"/>
        <w:rPr>
          <w:rFonts w:ascii="仿宋_GB2312" w:eastAsia="仿宋_GB2312" w:hAnsi="宋体"/>
          <w:b/>
          <w:bCs/>
          <w:sz w:val="28"/>
          <w:szCs w:val="28"/>
        </w:rPr>
      </w:pPr>
      <w:r>
        <w:rPr>
          <w:rFonts w:ascii="仿宋_GB2312" w:eastAsia="仿宋_GB2312" w:hAnsi="宋体" w:hint="eastAsia"/>
          <w:b/>
          <w:bCs/>
          <w:sz w:val="28"/>
          <w:szCs w:val="28"/>
        </w:rPr>
        <w:t>专题五：国企混合所有制改革与资产重组专题</w:t>
      </w:r>
    </w:p>
    <w:p w14:paraId="0CD6CE14" w14:textId="77777777" w:rsidR="003F7703" w:rsidRDefault="003F7703" w:rsidP="003F7703">
      <w:pPr>
        <w:tabs>
          <w:tab w:val="left" w:pos="1620"/>
          <w:tab w:val="left" w:pos="1800"/>
        </w:tabs>
        <w:spacing w:line="480" w:lineRule="exact"/>
        <w:ind w:firstLineChars="147" w:firstLine="413"/>
        <w:jc w:val="left"/>
        <w:rPr>
          <w:rFonts w:ascii="仿宋_GB2312" w:eastAsia="仿宋_GB2312" w:hAnsi="宋体"/>
          <w:b/>
          <w:bCs/>
          <w:sz w:val="28"/>
          <w:szCs w:val="28"/>
        </w:rPr>
      </w:pPr>
      <w:r>
        <w:rPr>
          <w:rFonts w:ascii="仿宋_GB2312" w:eastAsia="仿宋_GB2312" w:hAnsi="宋体" w:hint="eastAsia"/>
          <w:b/>
          <w:bCs/>
          <w:sz w:val="28"/>
          <w:szCs w:val="28"/>
        </w:rPr>
        <w:t>（一）</w:t>
      </w:r>
      <w:proofErr w:type="gramStart"/>
      <w:r>
        <w:rPr>
          <w:rFonts w:ascii="仿宋_GB2312" w:eastAsia="仿宋_GB2312" w:hAnsi="宋体" w:hint="eastAsia"/>
          <w:b/>
          <w:bCs/>
          <w:sz w:val="28"/>
          <w:szCs w:val="28"/>
        </w:rPr>
        <w:t>国企混改政策</w:t>
      </w:r>
      <w:proofErr w:type="gramEnd"/>
      <w:r>
        <w:rPr>
          <w:rFonts w:ascii="仿宋_GB2312" w:eastAsia="仿宋_GB2312" w:hAnsi="宋体" w:hint="eastAsia"/>
          <w:b/>
          <w:bCs/>
          <w:sz w:val="28"/>
          <w:szCs w:val="28"/>
        </w:rPr>
        <w:t>解读及最新形势分析</w:t>
      </w:r>
    </w:p>
    <w:p w14:paraId="27AC83B9"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《国企改革“双百行动”工作方案》全面解析</w:t>
      </w:r>
    </w:p>
    <w:p w14:paraId="20461B5D"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《中央企业混合所有制改革操作指引》及地方国企操作指引全面解读</w:t>
      </w:r>
    </w:p>
    <w:p w14:paraId="3C947961"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《关于以管资本为主加快国有资产监管职能转变的实施意见》解析</w:t>
      </w:r>
    </w:p>
    <w:p w14:paraId="270159BA" w14:textId="77777777" w:rsidR="003F7703" w:rsidRDefault="003F7703" w:rsidP="003F7703">
      <w:pPr>
        <w:tabs>
          <w:tab w:val="left" w:pos="1620"/>
          <w:tab w:val="left" w:pos="1800"/>
        </w:tabs>
        <w:spacing w:line="480" w:lineRule="exact"/>
        <w:ind w:firstLineChars="147" w:firstLine="413"/>
        <w:jc w:val="left"/>
        <w:rPr>
          <w:rFonts w:ascii="仿宋_GB2312" w:eastAsia="仿宋_GB2312" w:hAnsi="宋体"/>
          <w:b/>
          <w:bCs/>
          <w:sz w:val="28"/>
          <w:szCs w:val="28"/>
        </w:rPr>
      </w:pPr>
      <w:r>
        <w:rPr>
          <w:rFonts w:ascii="仿宋_GB2312" w:eastAsia="仿宋_GB2312" w:hAnsi="宋体" w:hint="eastAsia"/>
          <w:b/>
          <w:bCs/>
          <w:sz w:val="28"/>
          <w:szCs w:val="28"/>
        </w:rPr>
        <w:t>（二）</w:t>
      </w:r>
      <w:proofErr w:type="gramStart"/>
      <w:r>
        <w:rPr>
          <w:rFonts w:ascii="仿宋_GB2312" w:eastAsia="仿宋_GB2312" w:hAnsi="宋体" w:hint="eastAsia"/>
          <w:b/>
          <w:bCs/>
          <w:sz w:val="28"/>
          <w:szCs w:val="28"/>
        </w:rPr>
        <w:t>国企混改的</w:t>
      </w:r>
      <w:proofErr w:type="gramEnd"/>
      <w:r>
        <w:rPr>
          <w:rFonts w:ascii="仿宋_GB2312" w:eastAsia="仿宋_GB2312" w:hAnsi="宋体" w:hint="eastAsia"/>
          <w:b/>
          <w:bCs/>
          <w:sz w:val="28"/>
          <w:szCs w:val="28"/>
        </w:rPr>
        <w:t>难点解析、操作模式及实战技术</w:t>
      </w:r>
    </w:p>
    <w:p w14:paraId="79DC0617"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混合所有制改革的焦点和难点问题解析</w:t>
      </w:r>
    </w:p>
    <w:p w14:paraId="08E2922D"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不同类型国有企业</w:t>
      </w:r>
      <w:proofErr w:type="gramStart"/>
      <w:r>
        <w:rPr>
          <w:rFonts w:ascii="仿宋_GB2312" w:eastAsia="仿宋_GB2312" w:hAnsi="宋体" w:hint="eastAsia"/>
          <w:sz w:val="28"/>
          <w:szCs w:val="28"/>
        </w:rPr>
        <w:t>推行混改的</w:t>
      </w:r>
      <w:proofErr w:type="gramEnd"/>
      <w:r>
        <w:rPr>
          <w:rFonts w:ascii="仿宋_GB2312" w:eastAsia="仿宋_GB2312" w:hAnsi="宋体" w:hint="eastAsia"/>
          <w:sz w:val="28"/>
          <w:szCs w:val="28"/>
        </w:rPr>
        <w:t>操作模式以及可借鉴的典型案例</w:t>
      </w:r>
    </w:p>
    <w:p w14:paraId="770E7886"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proofErr w:type="gramStart"/>
      <w:r>
        <w:rPr>
          <w:rFonts w:ascii="仿宋_GB2312" w:eastAsia="仿宋_GB2312" w:hAnsi="宋体" w:hint="eastAsia"/>
          <w:sz w:val="28"/>
          <w:szCs w:val="28"/>
        </w:rPr>
        <w:t>国企混改方案设计</w:t>
      </w:r>
      <w:proofErr w:type="gramEnd"/>
      <w:r>
        <w:rPr>
          <w:rFonts w:ascii="仿宋_GB2312" w:eastAsia="仿宋_GB2312" w:hAnsi="宋体" w:hint="eastAsia"/>
          <w:sz w:val="28"/>
          <w:szCs w:val="28"/>
        </w:rPr>
        <w:t>及组织实施</w:t>
      </w:r>
    </w:p>
    <w:p w14:paraId="0132A505"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proofErr w:type="gramStart"/>
      <w:r>
        <w:rPr>
          <w:rFonts w:ascii="仿宋_GB2312" w:eastAsia="仿宋_GB2312" w:hAnsi="宋体" w:hint="eastAsia"/>
          <w:sz w:val="28"/>
          <w:szCs w:val="28"/>
        </w:rPr>
        <w:t>国企混改疑难</w:t>
      </w:r>
      <w:proofErr w:type="gramEnd"/>
      <w:r>
        <w:rPr>
          <w:rFonts w:ascii="仿宋_GB2312" w:eastAsia="仿宋_GB2312" w:hAnsi="宋体" w:hint="eastAsia"/>
          <w:sz w:val="28"/>
          <w:szCs w:val="28"/>
        </w:rPr>
        <w:t>问题处理</w:t>
      </w:r>
    </w:p>
    <w:p w14:paraId="0EF15981" w14:textId="77777777" w:rsidR="003F7703" w:rsidRDefault="003F7703" w:rsidP="003F7703">
      <w:pPr>
        <w:pStyle w:val="a3"/>
        <w:tabs>
          <w:tab w:val="left" w:pos="1620"/>
          <w:tab w:val="left" w:pos="1800"/>
        </w:tabs>
        <w:spacing w:line="480" w:lineRule="exact"/>
        <w:ind w:left="420" w:firstLineChars="0" w:firstLine="0"/>
        <w:jc w:val="left"/>
        <w:rPr>
          <w:rFonts w:ascii="仿宋_GB2312" w:eastAsia="仿宋_GB2312" w:hAnsi="宋体"/>
          <w:b/>
          <w:bCs/>
          <w:sz w:val="28"/>
          <w:szCs w:val="28"/>
        </w:rPr>
      </w:pPr>
      <w:r>
        <w:rPr>
          <w:rFonts w:ascii="仿宋_GB2312" w:eastAsia="仿宋_GB2312" w:hAnsi="宋体" w:hint="eastAsia"/>
          <w:b/>
          <w:bCs/>
          <w:sz w:val="28"/>
          <w:szCs w:val="28"/>
        </w:rPr>
        <w:t>（三）</w:t>
      </w:r>
      <w:proofErr w:type="gramStart"/>
      <w:r>
        <w:rPr>
          <w:rFonts w:ascii="仿宋_GB2312" w:eastAsia="仿宋_GB2312" w:hAnsi="宋体" w:hint="eastAsia"/>
          <w:b/>
          <w:bCs/>
          <w:sz w:val="28"/>
          <w:szCs w:val="28"/>
        </w:rPr>
        <w:t>国企混改股权</w:t>
      </w:r>
      <w:proofErr w:type="gramEnd"/>
      <w:r>
        <w:rPr>
          <w:rFonts w:ascii="仿宋_GB2312" w:eastAsia="仿宋_GB2312" w:hAnsi="宋体" w:hint="eastAsia"/>
          <w:b/>
          <w:bCs/>
          <w:sz w:val="28"/>
          <w:szCs w:val="28"/>
        </w:rPr>
        <w:t>激励与资产重组案例</w:t>
      </w:r>
    </w:p>
    <w:p w14:paraId="5C03758A"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《关于进一步做好中央企业控股上市公司股权激励工作有关事项的通知》解析</w:t>
      </w:r>
    </w:p>
    <w:p w14:paraId="0BC12603"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股权激励适用范围、操作模式及可借鉴的典型案例</w:t>
      </w:r>
    </w:p>
    <w:p w14:paraId="0BDBE80E"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资产重组的设计与实施</w:t>
      </w:r>
    </w:p>
    <w:p w14:paraId="0E6225F3"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资产重组案例</w:t>
      </w:r>
    </w:p>
    <w:p w14:paraId="66568BFB" w14:textId="77777777" w:rsidR="003F7703" w:rsidRDefault="003F7703" w:rsidP="003F7703">
      <w:pPr>
        <w:spacing w:beforeLines="30" w:before="93" w:afterLines="30" w:after="93" w:line="480" w:lineRule="exact"/>
        <w:ind w:firstLineChars="147" w:firstLine="413"/>
        <w:rPr>
          <w:rFonts w:ascii="仿宋_GB2312" w:eastAsia="仿宋_GB2312" w:hAnsi="宋体"/>
          <w:b/>
          <w:bCs/>
          <w:sz w:val="28"/>
          <w:szCs w:val="28"/>
        </w:rPr>
      </w:pPr>
    </w:p>
    <w:p w14:paraId="2144F893" w14:textId="77777777" w:rsidR="003F7703" w:rsidRDefault="003F7703" w:rsidP="003F7703">
      <w:pPr>
        <w:spacing w:beforeLines="30" w:before="93" w:afterLines="30" w:after="93" w:line="480" w:lineRule="exact"/>
        <w:ind w:firstLineChars="147" w:firstLine="413"/>
        <w:rPr>
          <w:rFonts w:ascii="仿宋_GB2312" w:eastAsia="仿宋_GB2312"/>
          <w:b/>
          <w:sz w:val="28"/>
          <w:szCs w:val="28"/>
        </w:rPr>
      </w:pPr>
      <w:r>
        <w:rPr>
          <w:rFonts w:ascii="仿宋_GB2312" w:eastAsia="仿宋_GB2312" w:hAnsi="宋体" w:hint="eastAsia"/>
          <w:b/>
          <w:bCs/>
          <w:sz w:val="28"/>
          <w:szCs w:val="28"/>
        </w:rPr>
        <w:t>专题六：大数据内部审计实务操作与智能审计应用专题</w:t>
      </w:r>
    </w:p>
    <w:p w14:paraId="6E00D174" w14:textId="77777777" w:rsidR="003F7703" w:rsidRDefault="003F7703" w:rsidP="003F7703">
      <w:pPr>
        <w:tabs>
          <w:tab w:val="left" w:pos="1620"/>
          <w:tab w:val="left" w:pos="1800"/>
        </w:tabs>
        <w:spacing w:line="480" w:lineRule="exact"/>
        <w:ind w:firstLineChars="147" w:firstLine="413"/>
        <w:jc w:val="left"/>
        <w:rPr>
          <w:rFonts w:ascii="仿宋_GB2312" w:eastAsia="仿宋_GB2312" w:hAnsi="宋体"/>
          <w:b/>
          <w:bCs/>
          <w:sz w:val="28"/>
          <w:szCs w:val="28"/>
        </w:rPr>
      </w:pPr>
      <w:r>
        <w:rPr>
          <w:rFonts w:ascii="仿宋_GB2312" w:eastAsia="仿宋_GB2312" w:hAnsi="宋体" w:hint="eastAsia"/>
          <w:b/>
          <w:bCs/>
          <w:sz w:val="28"/>
          <w:szCs w:val="28"/>
        </w:rPr>
        <w:t>（一）</w:t>
      </w:r>
      <w:r>
        <w:rPr>
          <w:rFonts w:ascii="仿宋_GB2312" w:eastAsia="仿宋_GB2312" w:hAnsi="宋体"/>
          <w:b/>
          <w:bCs/>
          <w:sz w:val="28"/>
          <w:szCs w:val="28"/>
        </w:rPr>
        <w:t>大数据对内部审计的影响</w:t>
      </w:r>
    </w:p>
    <w:p w14:paraId="307035DE"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sz w:val="28"/>
          <w:szCs w:val="28"/>
        </w:rPr>
        <w:t>大数据</w:t>
      </w:r>
      <w:r>
        <w:rPr>
          <w:rFonts w:ascii="仿宋_GB2312" w:eastAsia="仿宋_GB2312" w:hAnsi="宋体" w:hint="eastAsia"/>
          <w:sz w:val="28"/>
          <w:szCs w:val="28"/>
        </w:rPr>
        <w:t>的</w:t>
      </w:r>
      <w:r>
        <w:rPr>
          <w:rFonts w:ascii="仿宋_GB2312" w:eastAsia="仿宋_GB2312" w:hAnsi="宋体"/>
          <w:sz w:val="28"/>
          <w:szCs w:val="28"/>
        </w:rPr>
        <w:t>简介</w:t>
      </w:r>
      <w:r>
        <w:rPr>
          <w:rFonts w:ascii="仿宋_GB2312" w:eastAsia="仿宋_GB2312" w:hAnsi="宋体" w:hint="eastAsia"/>
          <w:sz w:val="28"/>
          <w:szCs w:val="28"/>
        </w:rPr>
        <w:t>及影响</w:t>
      </w:r>
    </w:p>
    <w:p w14:paraId="5BCF60AF"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lastRenderedPageBreak/>
        <w:t>内部审计的转型</w:t>
      </w:r>
    </w:p>
    <w:p w14:paraId="3DBD0E03" w14:textId="77777777" w:rsidR="003F7703" w:rsidRDefault="003F7703" w:rsidP="003F7703">
      <w:pPr>
        <w:tabs>
          <w:tab w:val="left" w:pos="1620"/>
          <w:tab w:val="left" w:pos="1800"/>
        </w:tabs>
        <w:spacing w:line="480" w:lineRule="exact"/>
        <w:ind w:firstLineChars="147" w:firstLine="413"/>
        <w:jc w:val="left"/>
        <w:rPr>
          <w:rFonts w:ascii="仿宋_GB2312" w:eastAsia="仿宋_GB2312" w:hAnsi="宋体"/>
          <w:b/>
          <w:bCs/>
          <w:sz w:val="28"/>
          <w:szCs w:val="28"/>
        </w:rPr>
      </w:pPr>
      <w:r>
        <w:rPr>
          <w:rFonts w:ascii="仿宋_GB2312" w:eastAsia="仿宋_GB2312" w:hAnsi="宋体" w:hint="eastAsia"/>
          <w:b/>
          <w:bCs/>
          <w:sz w:val="28"/>
          <w:szCs w:val="28"/>
        </w:rPr>
        <w:t>（二）审计人员需要掌握的新技能</w:t>
      </w:r>
    </w:p>
    <w:p w14:paraId="18CF6D46"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数据仓库建立</w:t>
      </w:r>
    </w:p>
    <w:p w14:paraId="689FC449"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机器学习</w:t>
      </w:r>
    </w:p>
    <w:p w14:paraId="543A04A7"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常用算法</w:t>
      </w:r>
    </w:p>
    <w:p w14:paraId="50D1563B" w14:textId="77777777" w:rsidR="003F7703" w:rsidRDefault="003F7703" w:rsidP="003F7703">
      <w:pPr>
        <w:tabs>
          <w:tab w:val="left" w:pos="1620"/>
          <w:tab w:val="left" w:pos="1800"/>
        </w:tabs>
        <w:spacing w:line="480" w:lineRule="exact"/>
        <w:ind w:firstLineChars="147" w:firstLine="413"/>
        <w:jc w:val="left"/>
        <w:rPr>
          <w:rFonts w:ascii="仿宋_GB2312" w:eastAsia="仿宋_GB2312" w:hAnsi="宋体"/>
          <w:b/>
          <w:bCs/>
          <w:sz w:val="28"/>
          <w:szCs w:val="28"/>
        </w:rPr>
      </w:pPr>
      <w:r>
        <w:rPr>
          <w:rFonts w:ascii="仿宋_GB2312" w:eastAsia="仿宋_GB2312" w:hAnsi="宋体" w:hint="eastAsia"/>
          <w:b/>
          <w:bCs/>
          <w:sz w:val="28"/>
          <w:szCs w:val="28"/>
        </w:rPr>
        <w:t>（三）建模思路与智能分析方法</w:t>
      </w:r>
    </w:p>
    <w:p w14:paraId="09E5EDED"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风险与数据转换</w:t>
      </w:r>
    </w:p>
    <w:p w14:paraId="54E5646E"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sz w:val="28"/>
          <w:szCs w:val="28"/>
        </w:rPr>
        <w:t>建模思路</w:t>
      </w:r>
    </w:p>
    <w:p w14:paraId="7F4AA6CD"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智能分析方法</w:t>
      </w:r>
    </w:p>
    <w:p w14:paraId="6DEDF451" w14:textId="77777777" w:rsidR="003F7703" w:rsidRDefault="003F7703" w:rsidP="003F7703">
      <w:pPr>
        <w:tabs>
          <w:tab w:val="left" w:pos="1620"/>
          <w:tab w:val="left" w:pos="1800"/>
        </w:tabs>
        <w:spacing w:line="480" w:lineRule="exact"/>
        <w:ind w:firstLineChars="147" w:firstLine="413"/>
        <w:jc w:val="left"/>
        <w:rPr>
          <w:rFonts w:ascii="仿宋_GB2312" w:eastAsia="仿宋_GB2312" w:hAnsi="宋体"/>
          <w:b/>
          <w:bCs/>
          <w:sz w:val="28"/>
          <w:szCs w:val="28"/>
        </w:rPr>
      </w:pPr>
      <w:r>
        <w:rPr>
          <w:rFonts w:ascii="仿宋_GB2312" w:eastAsia="仿宋_GB2312" w:hAnsi="宋体" w:hint="eastAsia"/>
          <w:b/>
          <w:bCs/>
          <w:sz w:val="28"/>
          <w:szCs w:val="28"/>
        </w:rPr>
        <w:t>（四）智能审计平台搭建</w:t>
      </w:r>
    </w:p>
    <w:p w14:paraId="5CC2AC5A"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与战略对接</w:t>
      </w:r>
    </w:p>
    <w:p w14:paraId="335AEC50"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与企业信息化体系融合</w:t>
      </w:r>
    </w:p>
    <w:p w14:paraId="422876F4"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实现“</w:t>
      </w:r>
      <w:r>
        <w:rPr>
          <w:rFonts w:ascii="仿宋_GB2312" w:eastAsia="仿宋_GB2312" w:hAnsi="宋体"/>
          <w:sz w:val="28"/>
          <w:szCs w:val="28"/>
        </w:rPr>
        <w:t>三互</w:t>
      </w:r>
      <w:r>
        <w:rPr>
          <w:rFonts w:ascii="仿宋_GB2312" w:eastAsia="仿宋_GB2312" w:hAnsi="宋体" w:hint="eastAsia"/>
          <w:sz w:val="28"/>
          <w:szCs w:val="28"/>
        </w:rPr>
        <w:t>”</w:t>
      </w:r>
    </w:p>
    <w:p w14:paraId="256849D5" w14:textId="77777777" w:rsidR="003F7703" w:rsidRDefault="003F7703" w:rsidP="003F7703">
      <w:pPr>
        <w:tabs>
          <w:tab w:val="left" w:pos="1620"/>
          <w:tab w:val="left" w:pos="1800"/>
        </w:tabs>
        <w:spacing w:line="480" w:lineRule="exact"/>
        <w:ind w:firstLineChars="147" w:firstLine="413"/>
        <w:jc w:val="left"/>
        <w:rPr>
          <w:rFonts w:ascii="仿宋_GB2312" w:eastAsia="仿宋_GB2312" w:hAnsi="宋体"/>
          <w:b/>
          <w:bCs/>
          <w:sz w:val="28"/>
          <w:szCs w:val="28"/>
        </w:rPr>
      </w:pPr>
    </w:p>
    <w:p w14:paraId="2CE52607" w14:textId="77777777" w:rsidR="003F7703" w:rsidRDefault="003F7703" w:rsidP="003F7703">
      <w:pPr>
        <w:spacing w:beforeLines="30" w:before="93" w:afterLines="30" w:after="93" w:line="480" w:lineRule="exact"/>
        <w:ind w:firstLineChars="147" w:firstLine="413"/>
        <w:rPr>
          <w:rFonts w:ascii="仿宋_GB2312" w:eastAsia="仿宋_GB2312" w:hAnsi="宋体"/>
          <w:b/>
          <w:bCs/>
          <w:sz w:val="28"/>
          <w:szCs w:val="28"/>
        </w:rPr>
      </w:pPr>
      <w:r>
        <w:rPr>
          <w:rFonts w:ascii="仿宋_GB2312" w:eastAsia="仿宋_GB2312" w:hAnsi="宋体" w:hint="eastAsia"/>
          <w:b/>
          <w:bCs/>
          <w:sz w:val="28"/>
          <w:szCs w:val="28"/>
        </w:rPr>
        <w:t>专题七：国资内控监管最新要求解读与内控合</w:t>
      </w:r>
      <w:proofErr w:type="gramStart"/>
      <w:r>
        <w:rPr>
          <w:rFonts w:ascii="仿宋_GB2312" w:eastAsia="仿宋_GB2312" w:hAnsi="宋体" w:hint="eastAsia"/>
          <w:b/>
          <w:bCs/>
          <w:sz w:val="28"/>
          <w:szCs w:val="28"/>
        </w:rPr>
        <w:t>规</w:t>
      </w:r>
      <w:proofErr w:type="gramEnd"/>
      <w:r>
        <w:rPr>
          <w:rFonts w:ascii="仿宋_GB2312" w:eastAsia="仿宋_GB2312" w:hAnsi="宋体" w:hint="eastAsia"/>
          <w:b/>
          <w:bCs/>
          <w:sz w:val="28"/>
          <w:szCs w:val="28"/>
        </w:rPr>
        <w:t>体系实践专题</w:t>
      </w:r>
    </w:p>
    <w:p w14:paraId="6DF0B67A" w14:textId="77777777" w:rsidR="003F7703" w:rsidRDefault="003F7703" w:rsidP="003F7703">
      <w:pPr>
        <w:pStyle w:val="a3"/>
        <w:numPr>
          <w:ilvl w:val="0"/>
          <w:numId w:val="4"/>
        </w:numPr>
        <w:spacing w:beforeLines="30" w:before="93" w:afterLines="30" w:after="93" w:line="480" w:lineRule="exact"/>
        <w:ind w:firstLineChars="0"/>
        <w:rPr>
          <w:rFonts w:ascii="仿宋_GB2312" w:eastAsia="仿宋_GB2312" w:hAnsi="宋体"/>
          <w:b/>
          <w:bCs/>
          <w:sz w:val="28"/>
          <w:szCs w:val="28"/>
        </w:rPr>
      </w:pPr>
      <w:r>
        <w:rPr>
          <w:rFonts w:ascii="仿宋_GB2312" w:eastAsia="仿宋_GB2312" w:hAnsi="宋体" w:hint="eastAsia"/>
          <w:b/>
          <w:bCs/>
          <w:sz w:val="28"/>
          <w:szCs w:val="28"/>
        </w:rPr>
        <w:t>国资内控监管最新要求解读</w:t>
      </w:r>
    </w:p>
    <w:p w14:paraId="469561A7" w14:textId="77777777" w:rsidR="003F7703" w:rsidRDefault="003F7703" w:rsidP="003F7703">
      <w:pPr>
        <w:numPr>
          <w:ilvl w:val="0"/>
          <w:numId w:val="2"/>
        </w:numPr>
        <w:spacing w:line="480" w:lineRule="exact"/>
        <w:ind w:leftChars="200" w:firstLine="397"/>
        <w:jc w:val="left"/>
        <w:rPr>
          <w:rFonts w:ascii="仿宋_GB2312" w:eastAsia="仿宋_GB2312" w:hAnsi="宋体"/>
          <w:spacing w:val="-12"/>
          <w:sz w:val="28"/>
          <w:szCs w:val="28"/>
        </w:rPr>
      </w:pPr>
      <w:r>
        <w:rPr>
          <w:rFonts w:ascii="仿宋_GB2312" w:eastAsia="仿宋_GB2312" w:hAnsi="宋体" w:hint="eastAsia"/>
          <w:spacing w:val="-12"/>
          <w:sz w:val="28"/>
          <w:szCs w:val="28"/>
        </w:rPr>
        <w:t>《关于加强中央企业内部控制体系建设与监督工作的实施意见》解析</w:t>
      </w:r>
    </w:p>
    <w:p w14:paraId="6BD01CE8"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国资内控监管最新要求对内部控制、风险管理与合</w:t>
      </w:r>
      <w:proofErr w:type="gramStart"/>
      <w:r>
        <w:rPr>
          <w:rFonts w:ascii="仿宋_GB2312" w:eastAsia="仿宋_GB2312" w:hAnsi="宋体" w:hint="eastAsia"/>
          <w:sz w:val="28"/>
          <w:szCs w:val="28"/>
        </w:rPr>
        <w:t>规</w:t>
      </w:r>
      <w:proofErr w:type="gramEnd"/>
      <w:r>
        <w:rPr>
          <w:rFonts w:ascii="仿宋_GB2312" w:eastAsia="仿宋_GB2312" w:hAnsi="宋体" w:hint="eastAsia"/>
          <w:sz w:val="28"/>
          <w:szCs w:val="28"/>
        </w:rPr>
        <w:t>的影响</w:t>
      </w:r>
    </w:p>
    <w:p w14:paraId="29F1D6EF"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基于国资内控监管最新要求下国有企业风险点剖析</w:t>
      </w:r>
    </w:p>
    <w:p w14:paraId="3DCF62F8" w14:textId="77777777" w:rsidR="003F7703" w:rsidRDefault="003F7703" w:rsidP="003F7703">
      <w:pPr>
        <w:pStyle w:val="a3"/>
        <w:numPr>
          <w:ilvl w:val="0"/>
          <w:numId w:val="4"/>
        </w:numPr>
        <w:spacing w:beforeLines="30" w:before="93" w:afterLines="30" w:after="93" w:line="480" w:lineRule="exact"/>
        <w:ind w:firstLineChars="0"/>
        <w:rPr>
          <w:rFonts w:ascii="仿宋_GB2312" w:eastAsia="仿宋_GB2312" w:hAnsi="宋体"/>
          <w:b/>
          <w:bCs/>
          <w:sz w:val="28"/>
          <w:szCs w:val="28"/>
        </w:rPr>
      </w:pPr>
      <w:r>
        <w:rPr>
          <w:rFonts w:ascii="仿宋_GB2312" w:eastAsia="仿宋_GB2312" w:hAnsi="宋体" w:hint="eastAsia"/>
          <w:b/>
          <w:bCs/>
          <w:sz w:val="28"/>
          <w:szCs w:val="28"/>
        </w:rPr>
        <w:t>国资监管最新要求下的风险管控体系建设与优化</w:t>
      </w:r>
    </w:p>
    <w:p w14:paraId="58149D42"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国资监管最新要求下的内控体系优化</w:t>
      </w:r>
    </w:p>
    <w:p w14:paraId="29E1CCA9"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企业风险管理体系建设与优化</w:t>
      </w:r>
    </w:p>
    <w:p w14:paraId="56754782"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如何促进和提升企业内控持续优化与有效性</w:t>
      </w:r>
    </w:p>
    <w:p w14:paraId="6C453771" w14:textId="77777777" w:rsidR="003F7703" w:rsidRDefault="003F7703" w:rsidP="003F7703">
      <w:pPr>
        <w:tabs>
          <w:tab w:val="left" w:pos="1620"/>
          <w:tab w:val="left" w:pos="1800"/>
        </w:tabs>
        <w:spacing w:line="480" w:lineRule="exact"/>
        <w:ind w:firstLineChars="147" w:firstLine="413"/>
        <w:jc w:val="left"/>
        <w:rPr>
          <w:rFonts w:ascii="仿宋_GB2312" w:eastAsia="仿宋_GB2312"/>
          <w:b/>
          <w:bCs/>
          <w:sz w:val="28"/>
          <w:szCs w:val="28"/>
        </w:rPr>
      </w:pPr>
      <w:r>
        <w:rPr>
          <w:rFonts w:ascii="仿宋_GB2312" w:eastAsia="仿宋_GB2312" w:hAnsi="宋体" w:hint="eastAsia"/>
          <w:b/>
          <w:bCs/>
          <w:sz w:val="28"/>
          <w:szCs w:val="28"/>
        </w:rPr>
        <w:t>（三）风险评估分析与内控报告</w:t>
      </w:r>
    </w:p>
    <w:p w14:paraId="366CD580"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人、财、物的消耗与管理费用的评估分析</w:t>
      </w:r>
    </w:p>
    <w:p w14:paraId="08475543"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现金流、利润率等指标的评估分析</w:t>
      </w:r>
    </w:p>
    <w:p w14:paraId="339EA2F0" w14:textId="77777777" w:rsidR="003F7703" w:rsidRDefault="003F7703" w:rsidP="003F7703">
      <w:pPr>
        <w:numPr>
          <w:ilvl w:val="0"/>
          <w:numId w:val="2"/>
        </w:numPr>
        <w:spacing w:line="480" w:lineRule="exact"/>
        <w:ind w:leftChars="200" w:firstLine="397"/>
        <w:jc w:val="left"/>
        <w:rPr>
          <w:rFonts w:ascii="仿宋_GB2312" w:eastAsia="仿宋_GB2312"/>
          <w:b/>
          <w:sz w:val="28"/>
          <w:szCs w:val="28"/>
        </w:rPr>
      </w:pPr>
      <w:r>
        <w:rPr>
          <w:rFonts w:ascii="仿宋_GB2312" w:eastAsia="仿宋_GB2312" w:hAnsi="宋体" w:hint="eastAsia"/>
          <w:sz w:val="28"/>
          <w:szCs w:val="28"/>
        </w:rPr>
        <w:lastRenderedPageBreak/>
        <w:t>企业内部控制报告的撰写技巧</w:t>
      </w:r>
    </w:p>
    <w:p w14:paraId="67DDA27C"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企业的控制案例分析</w:t>
      </w:r>
    </w:p>
    <w:p w14:paraId="3CAF4BF5" w14:textId="77777777" w:rsidR="003F7703" w:rsidRDefault="003F7703" w:rsidP="003F7703">
      <w:pPr>
        <w:spacing w:beforeLines="30" w:before="93" w:afterLines="30" w:after="93" w:line="480" w:lineRule="exact"/>
        <w:ind w:firstLineChars="147" w:firstLine="413"/>
        <w:rPr>
          <w:rFonts w:ascii="仿宋_GB2312" w:eastAsia="仿宋_GB2312" w:hAnsi="宋体"/>
          <w:b/>
          <w:bCs/>
          <w:sz w:val="28"/>
          <w:szCs w:val="28"/>
        </w:rPr>
      </w:pPr>
    </w:p>
    <w:p w14:paraId="2C01D8D6" w14:textId="77777777" w:rsidR="003F7703" w:rsidRDefault="003F7703" w:rsidP="003F7703">
      <w:pPr>
        <w:spacing w:beforeLines="30" w:before="93" w:afterLines="30" w:after="93" w:line="480" w:lineRule="exact"/>
        <w:ind w:firstLineChars="147" w:firstLine="413"/>
        <w:rPr>
          <w:rFonts w:ascii="仿宋_GB2312" w:eastAsia="仿宋_GB2312" w:hAnsi="宋体"/>
          <w:b/>
          <w:bCs/>
          <w:sz w:val="28"/>
          <w:szCs w:val="28"/>
        </w:rPr>
      </w:pPr>
      <w:r>
        <w:rPr>
          <w:rFonts w:ascii="仿宋_GB2312" w:eastAsia="仿宋_GB2312" w:hAnsi="宋体" w:hint="eastAsia"/>
          <w:b/>
          <w:bCs/>
          <w:sz w:val="28"/>
          <w:szCs w:val="28"/>
        </w:rPr>
        <w:t>专题八：全面预算管理的难点与案例分析专题</w:t>
      </w:r>
    </w:p>
    <w:p w14:paraId="5DE8539F" w14:textId="77777777" w:rsidR="003F7703" w:rsidRDefault="003F7703" w:rsidP="003F7703">
      <w:pPr>
        <w:numPr>
          <w:ilvl w:val="0"/>
          <w:numId w:val="5"/>
        </w:numPr>
        <w:spacing w:line="480" w:lineRule="exact"/>
        <w:ind w:firstLineChars="147" w:firstLine="413"/>
        <w:jc w:val="left"/>
        <w:rPr>
          <w:rFonts w:ascii="仿宋_GB2312" w:eastAsia="仿宋_GB2312" w:hAnsi="宋体"/>
          <w:b/>
          <w:sz w:val="28"/>
          <w:szCs w:val="28"/>
        </w:rPr>
      </w:pPr>
      <w:r>
        <w:rPr>
          <w:rFonts w:ascii="仿宋_GB2312" w:eastAsia="仿宋_GB2312" w:hAnsi="宋体" w:hint="eastAsia"/>
          <w:b/>
          <w:sz w:val="28"/>
          <w:szCs w:val="28"/>
        </w:rPr>
        <w:t>基于战略目标的全面预算管理</w:t>
      </w:r>
    </w:p>
    <w:p w14:paraId="34DCD859"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企业战略与全面预算的关系</w:t>
      </w:r>
    </w:p>
    <w:p w14:paraId="1764A327" w14:textId="77777777" w:rsidR="003F7703" w:rsidRDefault="003F7703" w:rsidP="003F7703">
      <w:pPr>
        <w:numPr>
          <w:ilvl w:val="0"/>
          <w:numId w:val="2"/>
        </w:numPr>
        <w:spacing w:line="480" w:lineRule="exact"/>
        <w:ind w:leftChars="200" w:firstLine="397"/>
        <w:jc w:val="left"/>
        <w:rPr>
          <w:rFonts w:ascii="仿宋_GB2312" w:eastAsia="仿宋_GB2312" w:hAnsi="宋体"/>
          <w:b/>
          <w:sz w:val="28"/>
          <w:szCs w:val="28"/>
        </w:rPr>
      </w:pPr>
      <w:r>
        <w:rPr>
          <w:rFonts w:ascii="仿宋_GB2312" w:eastAsia="仿宋_GB2312" w:hAnsi="宋体" w:hint="eastAsia"/>
          <w:sz w:val="28"/>
          <w:szCs w:val="28"/>
        </w:rPr>
        <w:t>全面预算管理如何实现企业战略意图</w:t>
      </w:r>
    </w:p>
    <w:p w14:paraId="0AD3DA53" w14:textId="77777777" w:rsidR="003F7703" w:rsidRDefault="003F7703" w:rsidP="003F7703">
      <w:pPr>
        <w:spacing w:line="480" w:lineRule="exact"/>
        <w:ind w:firstLineChars="147" w:firstLine="413"/>
        <w:jc w:val="left"/>
        <w:rPr>
          <w:rFonts w:ascii="仿宋_GB2312" w:eastAsia="仿宋_GB2312" w:hAnsi="宋体"/>
          <w:sz w:val="28"/>
          <w:szCs w:val="28"/>
        </w:rPr>
      </w:pPr>
      <w:r>
        <w:rPr>
          <w:rFonts w:ascii="仿宋_GB2312" w:eastAsia="仿宋_GB2312" w:hAnsi="宋体" w:hint="eastAsia"/>
          <w:b/>
          <w:bCs/>
          <w:sz w:val="28"/>
          <w:szCs w:val="28"/>
        </w:rPr>
        <w:t>（二）</w:t>
      </w:r>
      <w:r>
        <w:rPr>
          <w:rFonts w:ascii="仿宋_GB2312" w:eastAsia="仿宋_GB2312" w:hAnsi="宋体" w:hint="eastAsia"/>
          <w:b/>
          <w:sz w:val="28"/>
          <w:szCs w:val="28"/>
        </w:rPr>
        <w:t>全面预算体系的构建</w:t>
      </w:r>
    </w:p>
    <w:p w14:paraId="7C6B5CBE"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预算编制的框架</w:t>
      </w:r>
    </w:p>
    <w:p w14:paraId="3DD1E6E0"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预算编制方法的实用性与反作用</w:t>
      </w:r>
    </w:p>
    <w:p w14:paraId="3892F0F9"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预算管理的误解</w:t>
      </w:r>
    </w:p>
    <w:p w14:paraId="783352E0"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三级递进预算目标的确定原则</w:t>
      </w:r>
    </w:p>
    <w:p w14:paraId="63FF5415"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关键预算的编制方法及案例分析</w:t>
      </w:r>
    </w:p>
    <w:p w14:paraId="55499B72"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预算偏差度的设定技巧与协调</w:t>
      </w:r>
    </w:p>
    <w:p w14:paraId="03DD3AE3" w14:textId="77777777" w:rsidR="003F7703" w:rsidRDefault="003F7703" w:rsidP="003F7703">
      <w:pPr>
        <w:spacing w:line="480" w:lineRule="exact"/>
        <w:ind w:firstLineChars="147" w:firstLine="413"/>
        <w:jc w:val="left"/>
        <w:rPr>
          <w:rFonts w:ascii="仿宋_GB2312" w:eastAsia="仿宋_GB2312" w:hAnsi="宋体"/>
          <w:sz w:val="28"/>
          <w:szCs w:val="28"/>
        </w:rPr>
      </w:pPr>
      <w:r>
        <w:rPr>
          <w:rFonts w:ascii="仿宋_GB2312" w:eastAsia="仿宋_GB2312" w:hAnsi="宋体" w:hint="eastAsia"/>
          <w:b/>
          <w:bCs/>
          <w:sz w:val="28"/>
          <w:szCs w:val="28"/>
        </w:rPr>
        <w:t>（三）</w:t>
      </w:r>
      <w:r>
        <w:rPr>
          <w:rFonts w:ascii="仿宋_GB2312" w:eastAsia="仿宋_GB2312" w:hAnsi="宋体" w:hint="eastAsia"/>
          <w:b/>
          <w:sz w:val="28"/>
          <w:szCs w:val="28"/>
        </w:rPr>
        <w:t>全面预算的有效执行</w:t>
      </w:r>
    </w:p>
    <w:p w14:paraId="5928BB1B"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仪表板使用与预算执行情况跟踪</w:t>
      </w:r>
    </w:p>
    <w:p w14:paraId="0A9ECDD5"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差异分析与预算分析体系的建立</w:t>
      </w:r>
    </w:p>
    <w:p w14:paraId="094B21C0"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预算与执行脱节的原因分析</w:t>
      </w:r>
    </w:p>
    <w:p w14:paraId="225A6D29"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考核管理和激励机制的重要性</w:t>
      </w:r>
    </w:p>
    <w:p w14:paraId="021A9065"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预算执行中的常见行为剖析与案例分析</w:t>
      </w:r>
    </w:p>
    <w:p w14:paraId="502225A4" w14:textId="77777777" w:rsidR="003F7703" w:rsidRDefault="003F7703" w:rsidP="003F7703">
      <w:pPr>
        <w:spacing w:beforeLines="30" w:before="93" w:afterLines="30" w:after="93" w:line="480" w:lineRule="exact"/>
        <w:ind w:firstLineChars="147" w:firstLine="413"/>
        <w:rPr>
          <w:rFonts w:ascii="仿宋_GB2312" w:eastAsia="仿宋_GB2312" w:hAnsi="宋体"/>
          <w:b/>
          <w:bCs/>
          <w:sz w:val="28"/>
          <w:szCs w:val="28"/>
        </w:rPr>
      </w:pPr>
    </w:p>
    <w:p w14:paraId="490AF233" w14:textId="77777777" w:rsidR="003F7703" w:rsidRDefault="003F7703" w:rsidP="003F7703">
      <w:pPr>
        <w:spacing w:beforeLines="30" w:before="93" w:afterLines="30" w:after="93" w:line="480" w:lineRule="exact"/>
        <w:ind w:firstLineChars="147" w:firstLine="413"/>
        <w:rPr>
          <w:rFonts w:ascii="仿宋_GB2312" w:eastAsia="仿宋_GB2312" w:hAnsi="宋体"/>
          <w:b/>
          <w:bCs/>
          <w:sz w:val="28"/>
          <w:szCs w:val="28"/>
        </w:rPr>
      </w:pPr>
      <w:r>
        <w:rPr>
          <w:rFonts w:ascii="仿宋_GB2312" w:eastAsia="仿宋_GB2312" w:hAnsi="宋体" w:hint="eastAsia"/>
          <w:b/>
          <w:bCs/>
          <w:sz w:val="28"/>
          <w:szCs w:val="28"/>
        </w:rPr>
        <w:t>专题九：企业成本管理与价值</w:t>
      </w:r>
      <w:proofErr w:type="gramStart"/>
      <w:r>
        <w:rPr>
          <w:rFonts w:ascii="仿宋_GB2312" w:eastAsia="仿宋_GB2312" w:hAnsi="宋体" w:hint="eastAsia"/>
          <w:b/>
          <w:bCs/>
          <w:sz w:val="28"/>
          <w:szCs w:val="28"/>
        </w:rPr>
        <w:t>链成本管</w:t>
      </w:r>
      <w:proofErr w:type="gramEnd"/>
      <w:r>
        <w:rPr>
          <w:rFonts w:ascii="仿宋_GB2312" w:eastAsia="仿宋_GB2312" w:hAnsi="宋体" w:hint="eastAsia"/>
          <w:b/>
          <w:bCs/>
          <w:sz w:val="28"/>
          <w:szCs w:val="28"/>
        </w:rPr>
        <w:t>控专题</w:t>
      </w:r>
    </w:p>
    <w:p w14:paraId="43FA7567" w14:textId="77777777" w:rsidR="003F7703" w:rsidRDefault="003F7703" w:rsidP="003F7703">
      <w:pPr>
        <w:tabs>
          <w:tab w:val="left" w:pos="1620"/>
          <w:tab w:val="left" w:pos="1800"/>
        </w:tabs>
        <w:spacing w:line="480" w:lineRule="exact"/>
        <w:ind w:firstLineChars="147" w:firstLine="413"/>
        <w:jc w:val="left"/>
        <w:rPr>
          <w:rFonts w:ascii="仿宋_GB2312" w:eastAsia="仿宋_GB2312"/>
          <w:b/>
          <w:sz w:val="28"/>
          <w:szCs w:val="28"/>
        </w:rPr>
      </w:pPr>
      <w:r>
        <w:rPr>
          <w:rFonts w:ascii="仿宋_GB2312" w:eastAsia="仿宋_GB2312" w:hAnsi="宋体" w:hint="eastAsia"/>
          <w:b/>
          <w:bCs/>
          <w:sz w:val="28"/>
          <w:szCs w:val="28"/>
        </w:rPr>
        <w:t>（一）</w:t>
      </w:r>
      <w:proofErr w:type="gramStart"/>
      <w:r>
        <w:rPr>
          <w:rFonts w:ascii="仿宋_GB2312" w:eastAsia="仿宋_GB2312" w:hAnsi="宋体" w:hint="eastAsia"/>
          <w:b/>
          <w:bCs/>
          <w:sz w:val="28"/>
          <w:szCs w:val="28"/>
        </w:rPr>
        <w:t>新成本</w:t>
      </w:r>
      <w:proofErr w:type="gramEnd"/>
      <w:r>
        <w:rPr>
          <w:rFonts w:ascii="仿宋_GB2312" w:eastAsia="仿宋_GB2312" w:hAnsi="宋体" w:hint="eastAsia"/>
          <w:b/>
          <w:bCs/>
          <w:sz w:val="28"/>
          <w:szCs w:val="28"/>
        </w:rPr>
        <w:t>制度解析与成本管理体系</w:t>
      </w:r>
    </w:p>
    <w:p w14:paraId="7A76D950"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sz w:val="28"/>
          <w:szCs w:val="28"/>
        </w:rPr>
        <w:t>企业产品成本核算制度</w:t>
      </w:r>
      <w:r>
        <w:rPr>
          <w:rFonts w:ascii="仿宋_GB2312" w:eastAsia="仿宋_GB2312" w:hAnsi="宋体" w:hint="eastAsia"/>
          <w:sz w:val="28"/>
          <w:szCs w:val="28"/>
        </w:rPr>
        <w:t>解析与趋势分析</w:t>
      </w:r>
    </w:p>
    <w:p w14:paraId="3C7BDDA8"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多维视觉下的精细化产品成本核算体系</w:t>
      </w:r>
    </w:p>
    <w:p w14:paraId="76F338CA"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利润测算与目标成本确定</w:t>
      </w:r>
    </w:p>
    <w:p w14:paraId="6BD69783" w14:textId="77777777" w:rsidR="003F7703" w:rsidRDefault="003F7703" w:rsidP="003F7703">
      <w:pPr>
        <w:tabs>
          <w:tab w:val="left" w:pos="1620"/>
          <w:tab w:val="left" w:pos="1800"/>
        </w:tabs>
        <w:spacing w:line="480" w:lineRule="exact"/>
        <w:ind w:firstLineChars="147" w:firstLine="413"/>
        <w:jc w:val="left"/>
        <w:rPr>
          <w:rFonts w:ascii="仿宋_GB2312" w:eastAsia="仿宋_GB2312"/>
          <w:color w:val="000000"/>
          <w:sz w:val="28"/>
          <w:szCs w:val="28"/>
        </w:rPr>
      </w:pPr>
      <w:r>
        <w:rPr>
          <w:rFonts w:ascii="仿宋_GB2312" w:eastAsia="仿宋_GB2312" w:hAnsi="宋体" w:hint="eastAsia"/>
          <w:b/>
          <w:bCs/>
          <w:sz w:val="28"/>
          <w:szCs w:val="28"/>
        </w:rPr>
        <w:t>（二）价值</w:t>
      </w:r>
      <w:proofErr w:type="gramStart"/>
      <w:r>
        <w:rPr>
          <w:rFonts w:ascii="仿宋_GB2312" w:eastAsia="仿宋_GB2312" w:hAnsi="宋体" w:hint="eastAsia"/>
          <w:b/>
          <w:bCs/>
          <w:sz w:val="28"/>
          <w:szCs w:val="28"/>
        </w:rPr>
        <w:t>链成本</w:t>
      </w:r>
      <w:proofErr w:type="gramEnd"/>
      <w:r>
        <w:rPr>
          <w:rFonts w:ascii="仿宋_GB2312" w:eastAsia="仿宋_GB2312" w:hAnsi="宋体" w:hint="eastAsia"/>
          <w:b/>
          <w:bCs/>
          <w:sz w:val="28"/>
          <w:szCs w:val="28"/>
        </w:rPr>
        <w:t>管理与案例解析</w:t>
      </w:r>
    </w:p>
    <w:p w14:paraId="227F7FCB"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lastRenderedPageBreak/>
        <w:t>颠覆传统视角的战略成本管理</w:t>
      </w:r>
    </w:p>
    <w:p w14:paraId="10564453"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战略成本动因分析</w:t>
      </w:r>
    </w:p>
    <w:p w14:paraId="5887D2C2"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基于价值链的成本管理分析</w:t>
      </w:r>
    </w:p>
    <w:p w14:paraId="6DAD3590" w14:textId="77777777" w:rsidR="003F7703" w:rsidRDefault="003F7703" w:rsidP="003F7703">
      <w:pPr>
        <w:tabs>
          <w:tab w:val="left" w:pos="1620"/>
          <w:tab w:val="left" w:pos="1800"/>
        </w:tabs>
        <w:spacing w:line="480" w:lineRule="exact"/>
        <w:ind w:firstLineChars="147" w:firstLine="413"/>
        <w:jc w:val="left"/>
        <w:rPr>
          <w:rFonts w:ascii="仿宋_GB2312" w:eastAsia="仿宋_GB2312" w:hAnsi="宋体"/>
          <w:b/>
          <w:bCs/>
          <w:sz w:val="28"/>
          <w:szCs w:val="28"/>
        </w:rPr>
      </w:pPr>
      <w:r>
        <w:rPr>
          <w:rFonts w:ascii="仿宋_GB2312" w:eastAsia="仿宋_GB2312" w:hAnsi="宋体" w:hint="eastAsia"/>
          <w:b/>
          <w:bCs/>
          <w:sz w:val="28"/>
          <w:szCs w:val="28"/>
        </w:rPr>
        <w:t>（三）供应</w:t>
      </w:r>
      <w:proofErr w:type="gramStart"/>
      <w:r>
        <w:rPr>
          <w:rFonts w:ascii="仿宋_GB2312" w:eastAsia="仿宋_GB2312" w:hAnsi="宋体" w:hint="eastAsia"/>
          <w:b/>
          <w:bCs/>
          <w:sz w:val="28"/>
          <w:szCs w:val="28"/>
        </w:rPr>
        <w:t>链成本管</w:t>
      </w:r>
      <w:proofErr w:type="gramEnd"/>
      <w:r>
        <w:rPr>
          <w:rFonts w:ascii="仿宋_GB2312" w:eastAsia="仿宋_GB2312" w:hAnsi="宋体" w:hint="eastAsia"/>
          <w:b/>
          <w:bCs/>
          <w:sz w:val="28"/>
          <w:szCs w:val="28"/>
        </w:rPr>
        <w:t>控与流程再造</w:t>
      </w:r>
    </w:p>
    <w:p w14:paraId="28ECD465"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差异化定位系统图</w:t>
      </w:r>
    </w:p>
    <w:p w14:paraId="209CDC91"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差异化定位特征</w:t>
      </w:r>
    </w:p>
    <w:p w14:paraId="3CC67128"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与供应商共同降低成本</w:t>
      </w:r>
    </w:p>
    <w:p w14:paraId="23EFD424"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供应链中关键点控制</w:t>
      </w:r>
    </w:p>
    <w:p w14:paraId="42AA1CEE" w14:textId="77777777" w:rsidR="003F7703" w:rsidRDefault="003F7703" w:rsidP="003F7703">
      <w:pPr>
        <w:spacing w:beforeLines="30" w:before="93" w:afterLines="30" w:after="93" w:line="480" w:lineRule="exact"/>
        <w:ind w:firstLineChars="147" w:firstLine="413"/>
        <w:rPr>
          <w:rFonts w:ascii="仿宋_GB2312" w:eastAsia="仿宋_GB2312" w:hAnsi="宋体"/>
          <w:b/>
          <w:bCs/>
          <w:sz w:val="28"/>
          <w:szCs w:val="28"/>
        </w:rPr>
      </w:pPr>
      <w:r>
        <w:rPr>
          <w:rFonts w:ascii="仿宋_GB2312" w:eastAsia="仿宋_GB2312" w:hAnsi="宋体" w:hint="eastAsia"/>
          <w:b/>
          <w:bCs/>
          <w:sz w:val="28"/>
          <w:szCs w:val="28"/>
        </w:rPr>
        <w:t>专题十:</w:t>
      </w:r>
      <w:r>
        <w:rPr>
          <w:rFonts w:ascii="仿宋_GB2312" w:eastAsia="仿宋_GB2312" w:hAnsi="宋体" w:hint="eastAsia"/>
          <w:b/>
          <w:bCs/>
          <w:spacing w:val="-2"/>
          <w:w w:val="90"/>
          <w:sz w:val="28"/>
          <w:szCs w:val="28"/>
        </w:rPr>
        <w:t>大数据时代的财务报表分析和新准则下报表格式变动案例解读专题</w:t>
      </w:r>
    </w:p>
    <w:p w14:paraId="1324A49D" w14:textId="77777777" w:rsidR="003F7703" w:rsidRDefault="003F7703" w:rsidP="003F7703">
      <w:pPr>
        <w:numPr>
          <w:ilvl w:val="0"/>
          <w:numId w:val="6"/>
        </w:numPr>
        <w:spacing w:line="480" w:lineRule="exact"/>
        <w:ind w:left="420"/>
        <w:jc w:val="left"/>
        <w:rPr>
          <w:rFonts w:ascii="仿宋_GB2312" w:eastAsia="仿宋_GB2312" w:hAnsi="宋体"/>
          <w:b/>
          <w:bCs/>
          <w:sz w:val="28"/>
          <w:szCs w:val="28"/>
        </w:rPr>
      </w:pPr>
      <w:r>
        <w:rPr>
          <w:rFonts w:ascii="仿宋_GB2312" w:eastAsia="仿宋_GB2312" w:hAnsi="宋体" w:hint="eastAsia"/>
          <w:b/>
          <w:bCs/>
          <w:sz w:val="28"/>
          <w:szCs w:val="28"/>
        </w:rPr>
        <w:t>新准则下报表格式变动案例</w:t>
      </w:r>
    </w:p>
    <w:p w14:paraId="7FCBDFD1"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一般企业财务报表格式的修订及解读</w:t>
      </w:r>
    </w:p>
    <w:p w14:paraId="4B564B63"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合并财务报表格式操作难点</w:t>
      </w:r>
    </w:p>
    <w:p w14:paraId="4896F58C"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合并报表编制实务</w:t>
      </w:r>
    </w:p>
    <w:p w14:paraId="6256DADE"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新会计准则变动对报表的影响</w:t>
      </w:r>
    </w:p>
    <w:p w14:paraId="39175CC7" w14:textId="77777777" w:rsidR="003F7703" w:rsidRDefault="003F7703" w:rsidP="003F7703">
      <w:pPr>
        <w:spacing w:line="480" w:lineRule="exact"/>
        <w:ind w:leftChars="200" w:left="420"/>
        <w:jc w:val="left"/>
        <w:rPr>
          <w:rFonts w:ascii="仿宋_GB2312" w:eastAsia="仿宋_GB2312" w:hAnsi="宋体"/>
          <w:b/>
          <w:bCs/>
          <w:sz w:val="28"/>
          <w:szCs w:val="28"/>
        </w:rPr>
      </w:pPr>
      <w:r>
        <w:rPr>
          <w:rFonts w:ascii="仿宋_GB2312" w:eastAsia="仿宋_GB2312" w:hAnsi="宋体" w:hint="eastAsia"/>
          <w:b/>
          <w:bCs/>
          <w:sz w:val="28"/>
          <w:szCs w:val="28"/>
        </w:rPr>
        <w:t>（二）财务报表信息质量识别</w:t>
      </w:r>
    </w:p>
    <w:p w14:paraId="504F07DF"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财务报表粉饰的类型及手法</w:t>
      </w:r>
    </w:p>
    <w:p w14:paraId="02EDDE17"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舞弊风险因素有效性分析</w:t>
      </w:r>
    </w:p>
    <w:p w14:paraId="7A6DD74B"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如何通过财务报表透视企业经营管理存在的问题</w:t>
      </w:r>
    </w:p>
    <w:p w14:paraId="62E94844" w14:textId="77777777" w:rsidR="003F7703" w:rsidRDefault="003F7703" w:rsidP="003F7703">
      <w:pPr>
        <w:spacing w:line="460" w:lineRule="exact"/>
        <w:ind w:firstLineChars="147" w:firstLine="413"/>
        <w:jc w:val="left"/>
        <w:rPr>
          <w:rFonts w:ascii="仿宋_GB2312" w:eastAsia="仿宋_GB2312" w:hAnsi="宋体"/>
          <w:b/>
          <w:bCs/>
          <w:sz w:val="28"/>
          <w:szCs w:val="28"/>
        </w:rPr>
      </w:pPr>
      <w:r>
        <w:rPr>
          <w:rFonts w:ascii="仿宋_GB2312" w:eastAsia="仿宋_GB2312" w:hAnsi="宋体" w:hint="eastAsia"/>
          <w:b/>
          <w:bCs/>
          <w:sz w:val="28"/>
          <w:szCs w:val="28"/>
        </w:rPr>
        <w:t>（三）大数据时代财务报表分析企业盈利能力</w:t>
      </w:r>
    </w:p>
    <w:p w14:paraId="2A863863"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通过关键财务指标分析企业获利能力</w:t>
      </w:r>
    </w:p>
    <w:p w14:paraId="7A2E0614"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盈利能力与财务比率综合运用</w:t>
      </w:r>
    </w:p>
    <w:p w14:paraId="52AC1E7B"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行业经济特征与财务报告之间的关系</w:t>
      </w:r>
    </w:p>
    <w:p w14:paraId="301A4035"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财务绩效指标的应用</w:t>
      </w:r>
    </w:p>
    <w:p w14:paraId="7A1DFDD4" w14:textId="77777777" w:rsidR="003F7703" w:rsidRDefault="003F7703" w:rsidP="003F7703">
      <w:pPr>
        <w:spacing w:beforeLines="30" w:before="93" w:afterLines="30" w:after="93" w:line="480" w:lineRule="exact"/>
        <w:ind w:firstLineChars="147" w:firstLine="413"/>
        <w:rPr>
          <w:rFonts w:ascii="仿宋_GB2312" w:eastAsia="仿宋_GB2312" w:hAnsi="宋体"/>
          <w:b/>
          <w:bCs/>
          <w:sz w:val="28"/>
          <w:szCs w:val="28"/>
        </w:rPr>
      </w:pPr>
    </w:p>
    <w:p w14:paraId="6B9FA047" w14:textId="77777777" w:rsidR="003F7703" w:rsidRDefault="003F7703" w:rsidP="003F7703">
      <w:pPr>
        <w:spacing w:beforeLines="30" w:before="93" w:afterLines="30" w:after="93" w:line="480" w:lineRule="exact"/>
        <w:ind w:firstLineChars="147" w:firstLine="413"/>
        <w:rPr>
          <w:rFonts w:ascii="仿宋_GB2312" w:eastAsia="仿宋_GB2312" w:hAnsi="宋体"/>
          <w:b/>
          <w:bCs/>
          <w:sz w:val="28"/>
          <w:szCs w:val="28"/>
        </w:rPr>
      </w:pPr>
      <w:r>
        <w:rPr>
          <w:rFonts w:ascii="仿宋_GB2312" w:eastAsia="仿宋_GB2312" w:hAnsi="宋体" w:hint="eastAsia"/>
          <w:b/>
          <w:bCs/>
          <w:sz w:val="28"/>
          <w:szCs w:val="28"/>
        </w:rPr>
        <w:t>专题十一：企业会计准则最新调整与实务应用专题</w:t>
      </w:r>
    </w:p>
    <w:p w14:paraId="65D4C425" w14:textId="77777777" w:rsidR="003F7703" w:rsidRDefault="003F7703" w:rsidP="003F7703">
      <w:pPr>
        <w:numPr>
          <w:ilvl w:val="0"/>
          <w:numId w:val="7"/>
        </w:numPr>
        <w:spacing w:line="480" w:lineRule="exact"/>
        <w:ind w:leftChars="200" w:left="420"/>
        <w:jc w:val="left"/>
        <w:rPr>
          <w:rFonts w:ascii="仿宋_GB2312" w:eastAsia="仿宋_GB2312" w:hAnsi="宋体"/>
          <w:b/>
          <w:bCs/>
          <w:sz w:val="28"/>
          <w:szCs w:val="28"/>
        </w:rPr>
      </w:pPr>
      <w:r>
        <w:rPr>
          <w:rFonts w:ascii="仿宋_GB2312" w:eastAsia="仿宋_GB2312" w:hAnsi="宋体" w:hint="eastAsia"/>
          <w:b/>
          <w:bCs/>
          <w:sz w:val="28"/>
          <w:szCs w:val="28"/>
        </w:rPr>
        <w:t>新收入准则解读和实务操作</w:t>
      </w:r>
    </w:p>
    <w:p w14:paraId="2E759F20"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新收入准则修订的背景</w:t>
      </w:r>
    </w:p>
    <w:p w14:paraId="716666BD"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lastRenderedPageBreak/>
        <w:t>收入确认计量的五步法</w:t>
      </w:r>
    </w:p>
    <w:p w14:paraId="008051E2"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 xml:space="preserve">特定交易的会计处理 </w:t>
      </w:r>
    </w:p>
    <w:p w14:paraId="55D1E9E5"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新收入准则的会计科目设置和报表列报</w:t>
      </w:r>
    </w:p>
    <w:p w14:paraId="7106E921"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新收入准则案例解读</w:t>
      </w:r>
    </w:p>
    <w:p w14:paraId="312A94B8" w14:textId="77777777" w:rsidR="003F7703" w:rsidRDefault="003F7703" w:rsidP="003F7703">
      <w:pPr>
        <w:spacing w:line="440" w:lineRule="exact"/>
        <w:ind w:leftChars="200" w:left="420"/>
        <w:jc w:val="left"/>
        <w:rPr>
          <w:rFonts w:ascii="仿宋_GB2312" w:eastAsia="仿宋_GB2312" w:hAnsi="宋体"/>
          <w:b/>
          <w:bCs/>
          <w:sz w:val="28"/>
          <w:szCs w:val="28"/>
        </w:rPr>
      </w:pPr>
      <w:r>
        <w:rPr>
          <w:rFonts w:ascii="仿宋_GB2312" w:eastAsia="仿宋_GB2312" w:hAnsi="宋体" w:hint="eastAsia"/>
          <w:b/>
          <w:bCs/>
          <w:sz w:val="28"/>
          <w:szCs w:val="28"/>
        </w:rPr>
        <w:t>（二）新租赁准则解读和实务操作</w:t>
      </w:r>
    </w:p>
    <w:p w14:paraId="499828E4"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新租赁准则修订的原因和主要变化点</w:t>
      </w:r>
    </w:p>
    <w:p w14:paraId="6D6588B2"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新租赁准则对承租人的主要影响</w:t>
      </w:r>
    </w:p>
    <w:p w14:paraId="6B39F4A5"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使用权资产和租赁负债的确认和计量</w:t>
      </w:r>
    </w:p>
    <w:p w14:paraId="296B5202"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短期租赁和低价值租赁的界定和核算</w:t>
      </w:r>
    </w:p>
    <w:p w14:paraId="1535D824"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其他修订内容</w:t>
      </w:r>
    </w:p>
    <w:p w14:paraId="4DB1A682" w14:textId="77777777" w:rsidR="003F7703" w:rsidRDefault="003F7703" w:rsidP="003F7703">
      <w:pPr>
        <w:spacing w:line="440" w:lineRule="exact"/>
        <w:ind w:leftChars="200" w:left="420"/>
        <w:jc w:val="left"/>
        <w:rPr>
          <w:rFonts w:ascii="仿宋_GB2312" w:eastAsia="仿宋_GB2312" w:hAnsi="宋体"/>
          <w:b/>
          <w:bCs/>
          <w:sz w:val="28"/>
          <w:szCs w:val="28"/>
        </w:rPr>
      </w:pPr>
      <w:r>
        <w:rPr>
          <w:rFonts w:ascii="仿宋_GB2312" w:eastAsia="仿宋_GB2312" w:hAnsi="宋体" w:hint="eastAsia"/>
          <w:b/>
          <w:bCs/>
          <w:sz w:val="28"/>
          <w:szCs w:val="28"/>
        </w:rPr>
        <w:t>（三）其他新修订和发布准则解读和实务操作</w:t>
      </w:r>
    </w:p>
    <w:p w14:paraId="334DA35E"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政府补助准则的主要修订内容及影响</w:t>
      </w:r>
    </w:p>
    <w:p w14:paraId="44811455"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持有待售的非流动资产及终止经营准则主要修订内容及影响</w:t>
      </w:r>
    </w:p>
    <w:p w14:paraId="26F5C9C9"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非货币性资产交换准则主要修订内容及影响</w:t>
      </w:r>
    </w:p>
    <w:p w14:paraId="3E4AF3BE"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债务重组准则主要修订内容及影响</w:t>
      </w:r>
    </w:p>
    <w:p w14:paraId="5C75A40D"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《企业会计准则解释第13号》的主要内容及影响</w:t>
      </w:r>
    </w:p>
    <w:p w14:paraId="2823735F"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《企业会计准则解释第14号（征求意见稿）》解读</w:t>
      </w:r>
    </w:p>
    <w:p w14:paraId="730DC585"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应用新准则案例解读</w:t>
      </w:r>
    </w:p>
    <w:p w14:paraId="725F807D" w14:textId="77777777" w:rsidR="003F7703" w:rsidRDefault="003F7703" w:rsidP="003F7703">
      <w:pPr>
        <w:spacing w:beforeLines="30" w:before="93" w:afterLines="30" w:after="93" w:line="480" w:lineRule="exact"/>
        <w:ind w:firstLineChars="147" w:firstLine="413"/>
        <w:rPr>
          <w:rFonts w:ascii="仿宋_GB2312" w:eastAsia="仿宋_GB2312" w:hAnsi="宋体"/>
          <w:b/>
          <w:bCs/>
          <w:sz w:val="28"/>
          <w:szCs w:val="28"/>
        </w:rPr>
      </w:pPr>
    </w:p>
    <w:p w14:paraId="54D1414E" w14:textId="77777777" w:rsidR="003F7703" w:rsidRDefault="003F7703" w:rsidP="003F7703">
      <w:pPr>
        <w:spacing w:beforeLines="30" w:before="93" w:afterLines="30" w:after="93" w:line="480" w:lineRule="exact"/>
        <w:ind w:firstLineChars="147" w:firstLine="413"/>
        <w:rPr>
          <w:rFonts w:ascii="仿宋_GB2312" w:eastAsia="仿宋_GB2312"/>
          <w:b/>
          <w:sz w:val="28"/>
          <w:szCs w:val="28"/>
        </w:rPr>
      </w:pPr>
      <w:r>
        <w:rPr>
          <w:rFonts w:ascii="仿宋_GB2312" w:eastAsia="仿宋_GB2312" w:hAnsi="宋体" w:hint="eastAsia"/>
          <w:b/>
          <w:bCs/>
          <w:sz w:val="28"/>
          <w:szCs w:val="28"/>
        </w:rPr>
        <w:t>专题十二：新形势下企业全面税收风险管理和税收筹划专题</w:t>
      </w:r>
    </w:p>
    <w:p w14:paraId="7AC33DF3" w14:textId="77777777" w:rsidR="003F7703" w:rsidRDefault="003F7703" w:rsidP="003F7703">
      <w:pPr>
        <w:numPr>
          <w:ilvl w:val="0"/>
          <w:numId w:val="8"/>
        </w:numPr>
        <w:tabs>
          <w:tab w:val="left" w:pos="1620"/>
          <w:tab w:val="left" w:pos="1800"/>
        </w:tabs>
        <w:spacing w:line="460" w:lineRule="exact"/>
        <w:ind w:firstLine="413"/>
        <w:jc w:val="left"/>
        <w:rPr>
          <w:rFonts w:ascii="仿宋_GB2312" w:eastAsia="仿宋_GB2312" w:hAnsi="仿宋_GB2312" w:cs="宋体"/>
          <w:color w:val="000000"/>
          <w:kern w:val="0"/>
          <w:sz w:val="28"/>
          <w:szCs w:val="32"/>
        </w:rPr>
      </w:pPr>
      <w:r>
        <w:rPr>
          <w:rFonts w:ascii="仿宋_GB2312" w:eastAsia="仿宋_GB2312" w:hAnsi="宋体" w:hint="eastAsia"/>
          <w:b/>
          <w:bCs/>
          <w:sz w:val="28"/>
          <w:szCs w:val="28"/>
        </w:rPr>
        <w:t xml:space="preserve">新形势下企业税收风险管理 </w:t>
      </w:r>
    </w:p>
    <w:p w14:paraId="2F2C93B5"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企业税收风险形成的因素分析</w:t>
      </w:r>
    </w:p>
    <w:p w14:paraId="5C2B471E"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当前企业税收环境的主要变化及影响</w:t>
      </w:r>
    </w:p>
    <w:p w14:paraId="035424DE"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新形势下企业税收风险管理和税收筹划的基本框架</w:t>
      </w:r>
    </w:p>
    <w:p w14:paraId="4E16F964" w14:textId="77777777" w:rsidR="003F7703" w:rsidRDefault="003F7703" w:rsidP="003F7703">
      <w:pPr>
        <w:numPr>
          <w:ilvl w:val="0"/>
          <w:numId w:val="8"/>
        </w:numPr>
        <w:tabs>
          <w:tab w:val="left" w:pos="1620"/>
          <w:tab w:val="left" w:pos="1800"/>
        </w:tabs>
        <w:spacing w:line="460" w:lineRule="exact"/>
        <w:ind w:firstLine="413"/>
        <w:jc w:val="left"/>
        <w:rPr>
          <w:rFonts w:ascii="仿宋_GB2312" w:eastAsia="仿宋_GB2312" w:hAnsi="宋体"/>
          <w:b/>
          <w:bCs/>
          <w:sz w:val="28"/>
          <w:szCs w:val="28"/>
        </w:rPr>
      </w:pPr>
      <w:r>
        <w:rPr>
          <w:rFonts w:ascii="仿宋_GB2312" w:eastAsia="仿宋_GB2312" w:hAnsi="宋体" w:hint="eastAsia"/>
          <w:b/>
          <w:bCs/>
          <w:sz w:val="28"/>
          <w:szCs w:val="28"/>
        </w:rPr>
        <w:t>基于税收政策变化的企业税收风险管理和税收筹划</w:t>
      </w:r>
    </w:p>
    <w:p w14:paraId="626A59A1"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增值税政策的主要变化及未来增值税立法的趋势</w:t>
      </w:r>
    </w:p>
    <w:p w14:paraId="24FD6057"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税收政策变化背景企业税收风险管理的要点</w:t>
      </w:r>
    </w:p>
    <w:p w14:paraId="27659DD5"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lastRenderedPageBreak/>
        <w:t>税收政策变化背景企业税收筹划的重点</w:t>
      </w:r>
    </w:p>
    <w:p w14:paraId="0064BF03" w14:textId="77777777" w:rsidR="003F7703" w:rsidRDefault="003F7703" w:rsidP="003F7703">
      <w:pPr>
        <w:numPr>
          <w:ilvl w:val="0"/>
          <w:numId w:val="8"/>
        </w:numPr>
        <w:tabs>
          <w:tab w:val="left" w:pos="1620"/>
          <w:tab w:val="left" w:pos="1800"/>
        </w:tabs>
        <w:spacing w:line="460" w:lineRule="exact"/>
        <w:ind w:firstLine="413"/>
        <w:jc w:val="left"/>
        <w:rPr>
          <w:rFonts w:ascii="仿宋_GB2312" w:eastAsia="仿宋_GB2312"/>
          <w:b/>
          <w:sz w:val="28"/>
          <w:szCs w:val="28"/>
        </w:rPr>
      </w:pPr>
      <w:r>
        <w:rPr>
          <w:rFonts w:ascii="仿宋_GB2312" w:eastAsia="仿宋_GB2312" w:hAnsi="宋体" w:hint="eastAsia"/>
          <w:b/>
          <w:bCs/>
          <w:sz w:val="28"/>
          <w:szCs w:val="28"/>
        </w:rPr>
        <w:t>基于税务部门税收征管变化的企业涉税业务风险管理</w:t>
      </w:r>
    </w:p>
    <w:p w14:paraId="34008645"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大数据背景下目前税务部门税收征管的主要管控手段</w:t>
      </w:r>
    </w:p>
    <w:p w14:paraId="132BD70B"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企业对税务部门税收征管变化的应对</w:t>
      </w:r>
    </w:p>
    <w:p w14:paraId="13E577EC" w14:textId="77777777" w:rsidR="003F7703" w:rsidRDefault="003F7703" w:rsidP="003F7703">
      <w:pPr>
        <w:numPr>
          <w:ilvl w:val="0"/>
          <w:numId w:val="8"/>
        </w:numPr>
        <w:tabs>
          <w:tab w:val="left" w:pos="1620"/>
          <w:tab w:val="left" w:pos="1800"/>
        </w:tabs>
        <w:spacing w:line="460" w:lineRule="exact"/>
        <w:ind w:firstLine="413"/>
        <w:jc w:val="left"/>
        <w:rPr>
          <w:rFonts w:ascii="仿宋_GB2312" w:eastAsia="仿宋_GB2312"/>
          <w:b/>
          <w:sz w:val="28"/>
          <w:szCs w:val="28"/>
        </w:rPr>
      </w:pPr>
      <w:r>
        <w:rPr>
          <w:rFonts w:ascii="仿宋_GB2312" w:eastAsia="仿宋_GB2312" w:hAnsi="宋体" w:hint="eastAsia"/>
          <w:b/>
          <w:bCs/>
          <w:sz w:val="28"/>
          <w:szCs w:val="28"/>
        </w:rPr>
        <w:t>基于会计准则变化的企业税收风险管理和税收筹划</w:t>
      </w:r>
    </w:p>
    <w:p w14:paraId="653651AE"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新收入准则及其它准则变化对企业税收处理的影响</w:t>
      </w:r>
    </w:p>
    <w:p w14:paraId="6FE85BD8" w14:textId="77777777" w:rsidR="003F7703" w:rsidRDefault="003F7703" w:rsidP="003F7703">
      <w:pPr>
        <w:numPr>
          <w:ilvl w:val="0"/>
          <w:numId w:val="2"/>
        </w:numPr>
        <w:spacing w:line="480" w:lineRule="exact"/>
        <w:ind w:leftChars="200" w:firstLine="397"/>
        <w:jc w:val="left"/>
        <w:rPr>
          <w:rFonts w:ascii="仿宋_GB2312" w:eastAsia="仿宋_GB2312" w:hAnsi="宋体"/>
          <w:spacing w:val="-6"/>
          <w:sz w:val="28"/>
          <w:szCs w:val="28"/>
        </w:rPr>
      </w:pPr>
      <w:r>
        <w:rPr>
          <w:rFonts w:ascii="仿宋_GB2312" w:eastAsia="仿宋_GB2312" w:hAnsi="宋体" w:hint="eastAsia"/>
          <w:spacing w:val="-6"/>
          <w:sz w:val="28"/>
          <w:szCs w:val="28"/>
        </w:rPr>
        <w:t>新收入准则及其它准则变化形成的税收风险管理和税收筹划安排</w:t>
      </w:r>
    </w:p>
    <w:p w14:paraId="4018734A" w14:textId="77777777" w:rsidR="003F7703" w:rsidRDefault="003F7703" w:rsidP="003F7703">
      <w:pPr>
        <w:numPr>
          <w:ilvl w:val="0"/>
          <w:numId w:val="8"/>
        </w:numPr>
        <w:tabs>
          <w:tab w:val="left" w:pos="1620"/>
          <w:tab w:val="left" w:pos="1800"/>
        </w:tabs>
        <w:spacing w:line="460" w:lineRule="exact"/>
        <w:ind w:firstLine="413"/>
        <w:jc w:val="left"/>
        <w:rPr>
          <w:rFonts w:ascii="仿宋_GB2312" w:eastAsia="仿宋_GB2312"/>
          <w:b/>
          <w:sz w:val="28"/>
          <w:szCs w:val="28"/>
        </w:rPr>
      </w:pPr>
      <w:r>
        <w:rPr>
          <w:rFonts w:ascii="仿宋_GB2312" w:eastAsia="仿宋_GB2312" w:hAnsi="宋体" w:hint="eastAsia"/>
          <w:b/>
          <w:bCs/>
          <w:sz w:val="28"/>
          <w:szCs w:val="28"/>
        </w:rPr>
        <w:t>基于企业</w:t>
      </w:r>
      <w:proofErr w:type="gramStart"/>
      <w:r>
        <w:rPr>
          <w:rFonts w:ascii="仿宋_GB2312" w:eastAsia="仿宋_GB2312" w:hAnsi="宋体" w:hint="eastAsia"/>
          <w:b/>
          <w:bCs/>
          <w:sz w:val="28"/>
          <w:szCs w:val="28"/>
        </w:rPr>
        <w:t>业</w:t>
      </w:r>
      <w:proofErr w:type="gramEnd"/>
      <w:r>
        <w:rPr>
          <w:rFonts w:ascii="仿宋_GB2312" w:eastAsia="仿宋_GB2312" w:hAnsi="宋体" w:hint="eastAsia"/>
          <w:b/>
          <w:bCs/>
          <w:sz w:val="28"/>
          <w:szCs w:val="28"/>
        </w:rPr>
        <w:t>财一体化的税收控管</w:t>
      </w:r>
    </w:p>
    <w:p w14:paraId="050BC79C"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企业税收风险管理和税收筹划的合同管理</w:t>
      </w:r>
    </w:p>
    <w:p w14:paraId="2FF56A77" w14:textId="77777777" w:rsidR="003F7703" w:rsidRDefault="003F7703" w:rsidP="003F7703">
      <w:pPr>
        <w:numPr>
          <w:ilvl w:val="0"/>
          <w:numId w:val="2"/>
        </w:numPr>
        <w:spacing w:line="480" w:lineRule="exact"/>
        <w:ind w:leftChars="200" w:firstLine="397"/>
        <w:jc w:val="left"/>
        <w:rPr>
          <w:rFonts w:ascii="仿宋_GB2312" w:eastAsia="仿宋_GB2312" w:hAnsi="宋体"/>
          <w:sz w:val="28"/>
          <w:szCs w:val="28"/>
        </w:rPr>
      </w:pPr>
      <w:r>
        <w:rPr>
          <w:rFonts w:ascii="仿宋_GB2312" w:eastAsia="仿宋_GB2312" w:hAnsi="宋体" w:hint="eastAsia"/>
          <w:sz w:val="28"/>
          <w:szCs w:val="28"/>
        </w:rPr>
        <w:t>企业所得税风险管控的所得税凭证管理</w:t>
      </w:r>
    </w:p>
    <w:p w14:paraId="05FC64B0" w14:textId="77777777" w:rsidR="00C92ADA" w:rsidRPr="003F7703" w:rsidRDefault="00C92ADA"/>
    <w:sectPr w:rsidR="00C92ADA" w:rsidRPr="003F77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F37A9"/>
    <w:multiLevelType w:val="multilevel"/>
    <w:tmpl w:val="07CF37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4983246"/>
    <w:multiLevelType w:val="multilevel"/>
    <w:tmpl w:val="14983246"/>
    <w:lvl w:ilvl="0">
      <w:start w:val="1"/>
      <w:numFmt w:val="japaneseCounting"/>
      <w:lvlText w:val="（%1）"/>
      <w:lvlJc w:val="left"/>
      <w:pPr>
        <w:ind w:left="1296" w:hanging="883"/>
      </w:pPr>
      <w:rPr>
        <w:rFonts w:hint="default"/>
      </w:rPr>
    </w:lvl>
    <w:lvl w:ilvl="1">
      <w:start w:val="1"/>
      <w:numFmt w:val="lowerLetter"/>
      <w:lvlText w:val="%2)"/>
      <w:lvlJc w:val="left"/>
      <w:pPr>
        <w:ind w:left="1253" w:hanging="420"/>
      </w:pPr>
    </w:lvl>
    <w:lvl w:ilvl="2">
      <w:start w:val="1"/>
      <w:numFmt w:val="lowerRoman"/>
      <w:lvlText w:val="%3."/>
      <w:lvlJc w:val="right"/>
      <w:pPr>
        <w:ind w:left="1673" w:hanging="420"/>
      </w:pPr>
    </w:lvl>
    <w:lvl w:ilvl="3">
      <w:start w:val="1"/>
      <w:numFmt w:val="decimal"/>
      <w:lvlText w:val="%4."/>
      <w:lvlJc w:val="left"/>
      <w:pPr>
        <w:ind w:left="2093" w:hanging="420"/>
      </w:pPr>
    </w:lvl>
    <w:lvl w:ilvl="4">
      <w:start w:val="1"/>
      <w:numFmt w:val="lowerLetter"/>
      <w:lvlText w:val="%5)"/>
      <w:lvlJc w:val="left"/>
      <w:pPr>
        <w:ind w:left="2513" w:hanging="420"/>
      </w:pPr>
    </w:lvl>
    <w:lvl w:ilvl="5">
      <w:start w:val="1"/>
      <w:numFmt w:val="lowerRoman"/>
      <w:lvlText w:val="%6."/>
      <w:lvlJc w:val="right"/>
      <w:pPr>
        <w:ind w:left="2933" w:hanging="420"/>
      </w:pPr>
    </w:lvl>
    <w:lvl w:ilvl="6">
      <w:start w:val="1"/>
      <w:numFmt w:val="decimal"/>
      <w:lvlText w:val="%7."/>
      <w:lvlJc w:val="left"/>
      <w:pPr>
        <w:ind w:left="3353" w:hanging="420"/>
      </w:pPr>
    </w:lvl>
    <w:lvl w:ilvl="7">
      <w:start w:val="1"/>
      <w:numFmt w:val="lowerLetter"/>
      <w:lvlText w:val="%8)"/>
      <w:lvlJc w:val="left"/>
      <w:pPr>
        <w:ind w:left="3773" w:hanging="420"/>
      </w:pPr>
    </w:lvl>
    <w:lvl w:ilvl="8">
      <w:start w:val="1"/>
      <w:numFmt w:val="lowerRoman"/>
      <w:lvlText w:val="%9."/>
      <w:lvlJc w:val="right"/>
      <w:pPr>
        <w:ind w:left="4193" w:hanging="420"/>
      </w:pPr>
    </w:lvl>
  </w:abstractNum>
  <w:abstractNum w:abstractNumId="2" w15:restartNumberingAfterBreak="0">
    <w:nsid w:val="5A486FB5"/>
    <w:multiLevelType w:val="singleLevel"/>
    <w:tmpl w:val="5A486FB5"/>
    <w:lvl w:ilvl="0">
      <w:start w:val="1"/>
      <w:numFmt w:val="chineseCounting"/>
      <w:suff w:val="nothing"/>
      <w:lvlText w:val="（%1）"/>
      <w:lvlJc w:val="left"/>
      <w:rPr>
        <w:b/>
      </w:rPr>
    </w:lvl>
  </w:abstractNum>
  <w:abstractNum w:abstractNumId="3" w15:restartNumberingAfterBreak="0">
    <w:nsid w:val="5A4877AA"/>
    <w:multiLevelType w:val="singleLevel"/>
    <w:tmpl w:val="5A4877AA"/>
    <w:lvl w:ilvl="0">
      <w:start w:val="1"/>
      <w:numFmt w:val="chineseCounting"/>
      <w:suff w:val="nothing"/>
      <w:lvlText w:val="（%1）"/>
      <w:lvlJc w:val="left"/>
    </w:lvl>
  </w:abstractNum>
  <w:abstractNum w:abstractNumId="4" w15:restartNumberingAfterBreak="0">
    <w:nsid w:val="5A4A6308"/>
    <w:multiLevelType w:val="singleLevel"/>
    <w:tmpl w:val="5A4A6308"/>
    <w:lvl w:ilvl="0">
      <w:start w:val="1"/>
      <w:numFmt w:val="chineseCounting"/>
      <w:suff w:val="nothing"/>
      <w:lvlText w:val="（%1）"/>
      <w:lvlJc w:val="left"/>
      <w:rPr>
        <w:b/>
      </w:rPr>
    </w:lvl>
  </w:abstractNum>
  <w:abstractNum w:abstractNumId="5" w15:restartNumberingAfterBreak="0">
    <w:nsid w:val="5A4AE223"/>
    <w:multiLevelType w:val="singleLevel"/>
    <w:tmpl w:val="5A4AE223"/>
    <w:lvl w:ilvl="0">
      <w:start w:val="1"/>
      <w:numFmt w:val="chineseCounting"/>
      <w:suff w:val="nothing"/>
      <w:lvlText w:val="（%1）"/>
      <w:lvlJc w:val="left"/>
    </w:lvl>
  </w:abstractNum>
  <w:abstractNum w:abstractNumId="6" w15:restartNumberingAfterBreak="0">
    <w:nsid w:val="5A4AEFC1"/>
    <w:multiLevelType w:val="singleLevel"/>
    <w:tmpl w:val="5A4AEFC1"/>
    <w:lvl w:ilvl="0">
      <w:start w:val="1"/>
      <w:numFmt w:val="chineseCounting"/>
      <w:suff w:val="nothing"/>
      <w:lvlText w:val="（%1）"/>
      <w:lvlJc w:val="left"/>
    </w:lvl>
  </w:abstractNum>
  <w:abstractNum w:abstractNumId="7" w15:restartNumberingAfterBreak="0">
    <w:nsid w:val="5A57252E"/>
    <w:multiLevelType w:val="singleLevel"/>
    <w:tmpl w:val="5A57252E"/>
    <w:lvl w:ilvl="0">
      <w:start w:val="1"/>
      <w:numFmt w:val="chineseCounting"/>
      <w:suff w:val="nothing"/>
      <w:lvlText w:val="（%1）"/>
      <w:lvlJc w:val="left"/>
    </w:lvl>
  </w:abstractNum>
  <w:num w:numId="1">
    <w:abstractNumId w:val="6"/>
  </w:num>
  <w:num w:numId="2">
    <w:abstractNumId w:val="0"/>
  </w:num>
  <w:num w:numId="3">
    <w:abstractNumId w:val="2"/>
  </w:num>
  <w:num w:numId="4">
    <w:abstractNumId w:val="1"/>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703"/>
    <w:rsid w:val="003F7703"/>
    <w:rsid w:val="00C92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63F40"/>
  <w15:chartTrackingRefBased/>
  <w15:docId w15:val="{5DABC75D-E6EB-48A1-8676-8BCE8271D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7703"/>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70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slq0517@sina.com</dc:creator>
  <cp:keywords/>
  <dc:description/>
  <cp:lastModifiedBy>slq0517@sina.com</cp:lastModifiedBy>
  <cp:revision>1</cp:revision>
  <dcterms:created xsi:type="dcterms:W3CDTF">2021-02-18T06:05:00Z</dcterms:created>
  <dcterms:modified xsi:type="dcterms:W3CDTF">2021-02-18T06:06:00Z</dcterms:modified>
</cp:coreProperties>
</file>