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121212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121212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121212"/>
          <w:kern w:val="0"/>
          <w:sz w:val="44"/>
          <w:szCs w:val="44"/>
          <w:lang w:val="en-US" w:eastAsia="zh-CN"/>
        </w:rPr>
        <w:t>税务会计师证书定期签注管理办法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3" w:firstLineChars="250"/>
        <w:jc w:val="center"/>
        <w:textAlignment w:val="auto"/>
        <w:rPr>
          <w:rFonts w:ascii="仿宋_GB2312" w:hAnsi="宋体" w:eastAsia="仿宋_GB2312" w:cs="宋体"/>
          <w:b/>
          <w:color w:val="1212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hAnsi="宋体" w:eastAsia="仿宋_GB2312" w:cs="宋体"/>
          <w:b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121212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color w:val="121212"/>
          <w:kern w:val="0"/>
          <w:sz w:val="30"/>
          <w:szCs w:val="30"/>
        </w:rPr>
        <w:t>总则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通过税务会计师考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试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，获得中国总会计师协会颁发的税务会计师证书，是证书持有者具有履职能力与水平的证明。根据《税务会计师项目规程》相关规定，取得税务会计师证书者，应参加相关继续教育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培训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，以不断提高证书持有者的专业知识水平和能力，维护证书的有效性。为此特制订中国总会计师协会《税务会计师证书定期签注管理办法》（以下称本办法）。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center"/>
        <w:textAlignment w:val="auto"/>
        <w:rPr>
          <w:rFonts w:hint="eastAsia" w:ascii="仿宋_GB2312" w:hAnsi="宋体" w:eastAsia="仿宋_GB2312" w:cs="宋体"/>
          <w:b/>
          <w:color w:val="1212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center"/>
        <w:textAlignment w:val="auto"/>
        <w:rPr>
          <w:rFonts w:ascii="仿宋_GB2312" w:hAnsi="宋体" w:eastAsia="仿宋_GB2312" w:cs="宋体"/>
          <w:b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121212"/>
          <w:kern w:val="0"/>
          <w:sz w:val="30"/>
          <w:szCs w:val="30"/>
        </w:rPr>
        <w:t>第二章 签注条件及内容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 xml:space="preserve">第一条  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所有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税务会计师证书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含专业资格证书和专业能力证书）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每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年签注一次。证书经中国总会计师协会签注后方具有连续有效性。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jc w:val="left"/>
        <w:textAlignment w:val="auto"/>
        <w:rPr>
          <w:rFonts w:ascii="仿宋_GB2312" w:hAnsi="宋体" w:eastAsia="仿宋_GB2312" w:cs="宋体"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第二条  税务会计师证书的签注内容为：持证人员过去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年期间所接受的继续教育/培训情况。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jc w:val="left"/>
        <w:textAlignment w:val="auto"/>
        <w:rPr>
          <w:rFonts w:hint="default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第三条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 xml:space="preserve"> 持证人员的继续教育/培训情况，以学时记录为签注依据。中级证书持证人员每年应接受不少于24学时的继续教育培训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,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初级证书持证人员每年应接受不少于16学时的继续教育培训。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color w:val="1212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703"/>
        <w:jc w:val="center"/>
        <w:textAlignment w:val="auto"/>
        <w:rPr>
          <w:rFonts w:ascii="仿宋_GB2312" w:hAnsi="宋体" w:eastAsia="仿宋_GB2312" w:cs="宋体"/>
          <w:b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121212"/>
          <w:kern w:val="0"/>
          <w:sz w:val="30"/>
          <w:szCs w:val="30"/>
        </w:rPr>
        <w:t>第三章 签注依据和继续教育学时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第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条  本办法认可的签注依据包括：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1．参加中国总会计师协会及国内外同类协会、学会组织的境内外业务培训。培训结束时，取得中国总会计师协会或国内外同类协会、学会颁发的《培训结业证书》，可作为证书签注依据。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2．参加中国总会计师协会各地方协会、行业分会组织的业务培训取得的《结业证书》，可作为证书签注依据。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参加国家税务总局或当地税务系统举办的培训班，取得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《结业证书》或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开具相关培训证明，可作为证书签注依据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．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参加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高等院校开设的专业课程或继续教育课程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，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取得《学历证书》、《学位证书》、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《结业证书》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可作为证书签注依据。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．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参加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技能人员职业资格考试、专业技术人员职业资格考试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并取得证书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可作为证书签注依据。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6.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正式出版专业著作或专业论文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在《中国管理会计》杂志、《中国总会计师》杂志和国内省级以上财经专业刊物上发表文章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篇，可作为证书签注依据。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7.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在所负责的工作中完成重大或创新项目，向中国总会计师协会提交项目报告（2000字左右），并附省或地、市及单位证明，可作为证书签注依据。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．参加税务会计师项目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网（www.cactac.com）提供的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继续教育，完成规定学时，可作为证书签注依据。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第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五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条 本办法认可的继续教育学时包括：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1．参加中国总会计师协会及国内外同类协会、学会组织的境内外业务培训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并取得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《培训结业证书》，按一个年度继续教育学时计算。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2．参加中国总会计师协会各地方协会、行业分会组织的业务培训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并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取得《结业证书》，按一个年度继续教育学时计算。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3．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参加国家税务总局或当地税务系统举办的培训班，取得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《结业证书》或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开具相关培训证明，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按一个年度继续教育学时计算。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参加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高等院校开设的专业课程或继续教育课程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，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取得《学历证书》、《学位证书》、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《结业证书》按一个年度继续教育学时计算。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．参加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技能人员职业资格考试、专业技术人员职业资格考试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并取得证书，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按一个年度继续教育学时计算。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6.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正式出版专业著作或专业论文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在《中国管理会计》杂志、《中国总会计师》杂志和国内省级以上财经专业刊物上发表文章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篇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按一个年度继续教育学时计算。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7.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在所负责的工作中完成重大或创新项目，向中国总会计师协会提交项目报告（2000字左右），并附省或地、市及单位证明，按一个年度继续教育学时计算。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.参加税务会计师项目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网提供的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继续教育，完成规定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学时，按一个年度继续教育学时计算。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center"/>
        <w:textAlignment w:val="auto"/>
        <w:rPr>
          <w:rFonts w:ascii="仿宋_GB2312" w:hAnsi="宋体" w:eastAsia="仿宋_GB2312" w:cs="宋体"/>
          <w:color w:val="1212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center"/>
        <w:textAlignment w:val="auto"/>
        <w:rPr>
          <w:rFonts w:ascii="仿宋_GB2312" w:hAnsi="宋体" w:eastAsia="仿宋_GB2312" w:cs="宋体"/>
          <w:b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121212"/>
          <w:kern w:val="0"/>
          <w:sz w:val="30"/>
          <w:szCs w:val="30"/>
        </w:rPr>
        <w:t>第四章</w:t>
      </w:r>
      <w:r>
        <w:rPr>
          <w:rFonts w:hint="eastAsia" w:ascii="仿宋_GB2312" w:hAnsi="宋体" w:eastAsia="仿宋_GB2312" w:cs="宋体"/>
          <w:b/>
          <w:color w:val="121212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121212"/>
          <w:kern w:val="0"/>
          <w:sz w:val="30"/>
          <w:szCs w:val="30"/>
        </w:rPr>
        <w:t>签注方式和收费标准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default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条  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税务会计师证书实行电子签注。持证人员可以通过中国总会计师协会官网进行电子签注；也可以通过税务会计师项目网链接至中国总会计师协会官网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相关栏目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进行电子签注。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签注时需上传符合要求的继续教育证明。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第七条  税务会计师证书电子签注为免费签注。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07" w:firstLineChars="600"/>
        <w:textAlignment w:val="auto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第五章  继续教育和签注的组织实施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条 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税务会计师项目网继续教育平台应当按照本办法的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规定，合理设计培训内容，做好持证人员的继续教育培训并为其提供学时证明。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第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九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条  取得证书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highlight w:val="none"/>
        </w:rPr>
        <w:t>年后，通过税务会计师项目网继续教育平台进行继续教育的持证人员，可通过税务会计师项目网站链接至中国总会计师协会网站进行签注;以其他方式进行继续教育的持证人员，可自行在中国总会计师协会网站进行电子签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第十条 签注结束后，可在中国总会计师协会网站进行证书签注状态查询。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jc w:val="left"/>
        <w:textAlignment w:val="auto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第十一条 自开通电子签注起，逾期未签注的学员，需在对应的签注年度登录系统进行补签。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jc w:val="center"/>
        <w:textAlignment w:val="auto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第六章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 xml:space="preserve"> 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default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第十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条  本办法自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shd w:val="clear" w:color="auto" w:fill="auto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shd w:val="clear" w:color="auto" w:fill="auto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shd w:val="clear" w:color="auto" w:fill="auto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shd w:val="clear" w:color="auto" w:fill="auto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shd w:val="clear" w:color="auto" w:fill="auto"/>
        </w:rPr>
        <w:t>日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起实施。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此前发布的税务会计师证书签注管理办法废止。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color w:val="1212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第十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</w:rPr>
        <w:t>条  本办法由中国总会计师协会负责解释和修订。</w:t>
      </w:r>
    </w:p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43AC"/>
    <w:multiLevelType w:val="multilevel"/>
    <w:tmpl w:val="518643AC"/>
    <w:lvl w:ilvl="0" w:tentative="0">
      <w:start w:val="1"/>
      <w:numFmt w:val="japaneseCounting"/>
      <w:lvlText w:val="第%1章"/>
      <w:lvlJc w:val="left"/>
      <w:pPr>
        <w:ind w:left="1648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3" w:hanging="420"/>
      </w:pPr>
    </w:lvl>
    <w:lvl w:ilvl="2" w:tentative="0">
      <w:start w:val="1"/>
      <w:numFmt w:val="lowerRoman"/>
      <w:lvlText w:val="%3."/>
      <w:lvlJc w:val="right"/>
      <w:pPr>
        <w:ind w:left="1963" w:hanging="420"/>
      </w:pPr>
    </w:lvl>
    <w:lvl w:ilvl="3" w:tentative="0">
      <w:start w:val="1"/>
      <w:numFmt w:val="decimal"/>
      <w:lvlText w:val="%4."/>
      <w:lvlJc w:val="left"/>
      <w:pPr>
        <w:ind w:left="2383" w:hanging="420"/>
      </w:pPr>
    </w:lvl>
    <w:lvl w:ilvl="4" w:tentative="0">
      <w:start w:val="1"/>
      <w:numFmt w:val="lowerLetter"/>
      <w:lvlText w:val="%5)"/>
      <w:lvlJc w:val="left"/>
      <w:pPr>
        <w:ind w:left="2803" w:hanging="420"/>
      </w:pPr>
    </w:lvl>
    <w:lvl w:ilvl="5" w:tentative="0">
      <w:start w:val="1"/>
      <w:numFmt w:val="lowerRoman"/>
      <w:lvlText w:val="%6."/>
      <w:lvlJc w:val="right"/>
      <w:pPr>
        <w:ind w:left="3223" w:hanging="420"/>
      </w:pPr>
    </w:lvl>
    <w:lvl w:ilvl="6" w:tentative="0">
      <w:start w:val="1"/>
      <w:numFmt w:val="decimal"/>
      <w:lvlText w:val="%7."/>
      <w:lvlJc w:val="left"/>
      <w:pPr>
        <w:ind w:left="3643" w:hanging="420"/>
      </w:pPr>
    </w:lvl>
    <w:lvl w:ilvl="7" w:tentative="0">
      <w:start w:val="1"/>
      <w:numFmt w:val="lowerLetter"/>
      <w:lvlText w:val="%8)"/>
      <w:lvlJc w:val="left"/>
      <w:pPr>
        <w:ind w:left="4063" w:hanging="420"/>
      </w:pPr>
    </w:lvl>
    <w:lvl w:ilvl="8" w:tentative="0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A56"/>
    <w:rsid w:val="00002750"/>
    <w:rsid w:val="00003956"/>
    <w:rsid w:val="00003B01"/>
    <w:rsid w:val="00005B11"/>
    <w:rsid w:val="000117E5"/>
    <w:rsid w:val="00015A64"/>
    <w:rsid w:val="000255B5"/>
    <w:rsid w:val="00027A60"/>
    <w:rsid w:val="00033AD5"/>
    <w:rsid w:val="00035397"/>
    <w:rsid w:val="000359B1"/>
    <w:rsid w:val="0004359D"/>
    <w:rsid w:val="00073D46"/>
    <w:rsid w:val="000848A0"/>
    <w:rsid w:val="0008791C"/>
    <w:rsid w:val="000B250A"/>
    <w:rsid w:val="000B63E1"/>
    <w:rsid w:val="000C0EB7"/>
    <w:rsid w:val="000C43E1"/>
    <w:rsid w:val="000D47C3"/>
    <w:rsid w:val="000F5733"/>
    <w:rsid w:val="0010252E"/>
    <w:rsid w:val="001039C8"/>
    <w:rsid w:val="00111EDE"/>
    <w:rsid w:val="001133F5"/>
    <w:rsid w:val="001144F7"/>
    <w:rsid w:val="001171A8"/>
    <w:rsid w:val="00124F81"/>
    <w:rsid w:val="00132727"/>
    <w:rsid w:val="00137819"/>
    <w:rsid w:val="001419A7"/>
    <w:rsid w:val="001451F0"/>
    <w:rsid w:val="00152DBE"/>
    <w:rsid w:val="00161E0C"/>
    <w:rsid w:val="00165CC8"/>
    <w:rsid w:val="00166A74"/>
    <w:rsid w:val="00174773"/>
    <w:rsid w:val="001A26AC"/>
    <w:rsid w:val="001A6D78"/>
    <w:rsid w:val="001C01BD"/>
    <w:rsid w:val="001C1C1D"/>
    <w:rsid w:val="001C3F2C"/>
    <w:rsid w:val="001C5182"/>
    <w:rsid w:val="001E035A"/>
    <w:rsid w:val="001F054F"/>
    <w:rsid w:val="001F5688"/>
    <w:rsid w:val="0020674D"/>
    <w:rsid w:val="00213AB5"/>
    <w:rsid w:val="00216412"/>
    <w:rsid w:val="00221CCE"/>
    <w:rsid w:val="00232143"/>
    <w:rsid w:val="0023655D"/>
    <w:rsid w:val="002530E3"/>
    <w:rsid w:val="002602EE"/>
    <w:rsid w:val="00263B94"/>
    <w:rsid w:val="00267D2D"/>
    <w:rsid w:val="002717AB"/>
    <w:rsid w:val="00287FF0"/>
    <w:rsid w:val="00291249"/>
    <w:rsid w:val="002A3396"/>
    <w:rsid w:val="002A373B"/>
    <w:rsid w:val="002A507D"/>
    <w:rsid w:val="002B0D3B"/>
    <w:rsid w:val="002C7803"/>
    <w:rsid w:val="002E0184"/>
    <w:rsid w:val="002E1292"/>
    <w:rsid w:val="002E68FE"/>
    <w:rsid w:val="002F51F0"/>
    <w:rsid w:val="002F6EB4"/>
    <w:rsid w:val="00303D56"/>
    <w:rsid w:val="00303F0E"/>
    <w:rsid w:val="00303F63"/>
    <w:rsid w:val="00313F5C"/>
    <w:rsid w:val="0035620B"/>
    <w:rsid w:val="00360E9E"/>
    <w:rsid w:val="003640CF"/>
    <w:rsid w:val="00372554"/>
    <w:rsid w:val="003928EC"/>
    <w:rsid w:val="00393B33"/>
    <w:rsid w:val="003A2CD8"/>
    <w:rsid w:val="003B5A6D"/>
    <w:rsid w:val="003C1E42"/>
    <w:rsid w:val="00402A82"/>
    <w:rsid w:val="0041091C"/>
    <w:rsid w:val="004157BE"/>
    <w:rsid w:val="00423398"/>
    <w:rsid w:val="004321B6"/>
    <w:rsid w:val="004366D8"/>
    <w:rsid w:val="00442C8D"/>
    <w:rsid w:val="00443E0F"/>
    <w:rsid w:val="00457696"/>
    <w:rsid w:val="00463853"/>
    <w:rsid w:val="00470674"/>
    <w:rsid w:val="00486105"/>
    <w:rsid w:val="00486C2D"/>
    <w:rsid w:val="00495F7C"/>
    <w:rsid w:val="004A5BA7"/>
    <w:rsid w:val="004A76C4"/>
    <w:rsid w:val="004B79B0"/>
    <w:rsid w:val="004D3B4B"/>
    <w:rsid w:val="004E1005"/>
    <w:rsid w:val="00501776"/>
    <w:rsid w:val="005121F3"/>
    <w:rsid w:val="00521D2F"/>
    <w:rsid w:val="005223C9"/>
    <w:rsid w:val="00531932"/>
    <w:rsid w:val="00571419"/>
    <w:rsid w:val="0057570F"/>
    <w:rsid w:val="005A0526"/>
    <w:rsid w:val="005A07B6"/>
    <w:rsid w:val="005A135F"/>
    <w:rsid w:val="005A1C57"/>
    <w:rsid w:val="005C08A0"/>
    <w:rsid w:val="005C5071"/>
    <w:rsid w:val="005F33A9"/>
    <w:rsid w:val="0061064B"/>
    <w:rsid w:val="00611083"/>
    <w:rsid w:val="00613EAF"/>
    <w:rsid w:val="00613EB9"/>
    <w:rsid w:val="0062514A"/>
    <w:rsid w:val="00643691"/>
    <w:rsid w:val="00644DD9"/>
    <w:rsid w:val="00650294"/>
    <w:rsid w:val="006543C9"/>
    <w:rsid w:val="00660AAF"/>
    <w:rsid w:val="0066219D"/>
    <w:rsid w:val="006629C3"/>
    <w:rsid w:val="00662F51"/>
    <w:rsid w:val="0067680C"/>
    <w:rsid w:val="00676C25"/>
    <w:rsid w:val="00684ADC"/>
    <w:rsid w:val="00685B8B"/>
    <w:rsid w:val="00693599"/>
    <w:rsid w:val="006973E5"/>
    <w:rsid w:val="006A0496"/>
    <w:rsid w:val="006A101A"/>
    <w:rsid w:val="006B0ED3"/>
    <w:rsid w:val="006B7D65"/>
    <w:rsid w:val="006C15E8"/>
    <w:rsid w:val="006C28CB"/>
    <w:rsid w:val="006C78F0"/>
    <w:rsid w:val="006D3C3D"/>
    <w:rsid w:val="006D40A0"/>
    <w:rsid w:val="006D7996"/>
    <w:rsid w:val="006F5348"/>
    <w:rsid w:val="006F77A7"/>
    <w:rsid w:val="006F7EF4"/>
    <w:rsid w:val="00703F43"/>
    <w:rsid w:val="00704B55"/>
    <w:rsid w:val="00705F4C"/>
    <w:rsid w:val="00710ECC"/>
    <w:rsid w:val="00714126"/>
    <w:rsid w:val="007243A9"/>
    <w:rsid w:val="007252CB"/>
    <w:rsid w:val="00731A49"/>
    <w:rsid w:val="00746356"/>
    <w:rsid w:val="00765504"/>
    <w:rsid w:val="00765E4A"/>
    <w:rsid w:val="00767E87"/>
    <w:rsid w:val="00770480"/>
    <w:rsid w:val="007865DB"/>
    <w:rsid w:val="007872B1"/>
    <w:rsid w:val="00787BA5"/>
    <w:rsid w:val="007905A2"/>
    <w:rsid w:val="007B3D1A"/>
    <w:rsid w:val="007B659C"/>
    <w:rsid w:val="007E1130"/>
    <w:rsid w:val="008150BE"/>
    <w:rsid w:val="008168FB"/>
    <w:rsid w:val="00826145"/>
    <w:rsid w:val="00826B19"/>
    <w:rsid w:val="00834A0C"/>
    <w:rsid w:val="00834A3A"/>
    <w:rsid w:val="00841D30"/>
    <w:rsid w:val="00843F10"/>
    <w:rsid w:val="00861765"/>
    <w:rsid w:val="008766DF"/>
    <w:rsid w:val="00884445"/>
    <w:rsid w:val="0088501E"/>
    <w:rsid w:val="0089754D"/>
    <w:rsid w:val="008A6079"/>
    <w:rsid w:val="008A6BA7"/>
    <w:rsid w:val="008B1206"/>
    <w:rsid w:val="008B444D"/>
    <w:rsid w:val="008B5EDA"/>
    <w:rsid w:val="008C2552"/>
    <w:rsid w:val="008D1B63"/>
    <w:rsid w:val="008D2E8D"/>
    <w:rsid w:val="008D41C9"/>
    <w:rsid w:val="008D6FAE"/>
    <w:rsid w:val="008E0B8C"/>
    <w:rsid w:val="008E6B2E"/>
    <w:rsid w:val="008F3AE4"/>
    <w:rsid w:val="008F6867"/>
    <w:rsid w:val="008F7796"/>
    <w:rsid w:val="009121BE"/>
    <w:rsid w:val="00920457"/>
    <w:rsid w:val="009252D6"/>
    <w:rsid w:val="0093533A"/>
    <w:rsid w:val="00942A56"/>
    <w:rsid w:val="00943B02"/>
    <w:rsid w:val="00966371"/>
    <w:rsid w:val="0096655A"/>
    <w:rsid w:val="00971DE0"/>
    <w:rsid w:val="00972EE7"/>
    <w:rsid w:val="009A2B78"/>
    <w:rsid w:val="009A51D4"/>
    <w:rsid w:val="009D3CF7"/>
    <w:rsid w:val="009E559F"/>
    <w:rsid w:val="009F55ED"/>
    <w:rsid w:val="009F589C"/>
    <w:rsid w:val="00A451BE"/>
    <w:rsid w:val="00A505B2"/>
    <w:rsid w:val="00A53634"/>
    <w:rsid w:val="00A60BCC"/>
    <w:rsid w:val="00A723C8"/>
    <w:rsid w:val="00A7288E"/>
    <w:rsid w:val="00A959E4"/>
    <w:rsid w:val="00AA0E5F"/>
    <w:rsid w:val="00AB720F"/>
    <w:rsid w:val="00AC4799"/>
    <w:rsid w:val="00AC5BC8"/>
    <w:rsid w:val="00AD0BC3"/>
    <w:rsid w:val="00AD2C9C"/>
    <w:rsid w:val="00AE53CE"/>
    <w:rsid w:val="00AE6ABF"/>
    <w:rsid w:val="00B016E9"/>
    <w:rsid w:val="00B05EC3"/>
    <w:rsid w:val="00B2579B"/>
    <w:rsid w:val="00B26C9C"/>
    <w:rsid w:val="00B27E41"/>
    <w:rsid w:val="00B31D48"/>
    <w:rsid w:val="00B513BA"/>
    <w:rsid w:val="00B55CE2"/>
    <w:rsid w:val="00B563EA"/>
    <w:rsid w:val="00B67719"/>
    <w:rsid w:val="00B842F9"/>
    <w:rsid w:val="00BA69FF"/>
    <w:rsid w:val="00BB12F3"/>
    <w:rsid w:val="00BB5F4D"/>
    <w:rsid w:val="00BC03E9"/>
    <w:rsid w:val="00BC0D1A"/>
    <w:rsid w:val="00BC5110"/>
    <w:rsid w:val="00BC5880"/>
    <w:rsid w:val="00C3784E"/>
    <w:rsid w:val="00C40836"/>
    <w:rsid w:val="00C51CA6"/>
    <w:rsid w:val="00C5475F"/>
    <w:rsid w:val="00C71DC8"/>
    <w:rsid w:val="00C72547"/>
    <w:rsid w:val="00C73EB0"/>
    <w:rsid w:val="00C7725B"/>
    <w:rsid w:val="00C97373"/>
    <w:rsid w:val="00C97C05"/>
    <w:rsid w:val="00CA1AAC"/>
    <w:rsid w:val="00CD6F97"/>
    <w:rsid w:val="00CE133A"/>
    <w:rsid w:val="00CE1D83"/>
    <w:rsid w:val="00CF377F"/>
    <w:rsid w:val="00D020FC"/>
    <w:rsid w:val="00D10A1B"/>
    <w:rsid w:val="00D415DC"/>
    <w:rsid w:val="00D510E6"/>
    <w:rsid w:val="00D54DFD"/>
    <w:rsid w:val="00D670ED"/>
    <w:rsid w:val="00D73ECE"/>
    <w:rsid w:val="00D76722"/>
    <w:rsid w:val="00D80F7A"/>
    <w:rsid w:val="00D83975"/>
    <w:rsid w:val="00DB4E99"/>
    <w:rsid w:val="00DB738D"/>
    <w:rsid w:val="00DC50B8"/>
    <w:rsid w:val="00DD10C2"/>
    <w:rsid w:val="00DE5810"/>
    <w:rsid w:val="00DE7180"/>
    <w:rsid w:val="00DF305E"/>
    <w:rsid w:val="00DF4894"/>
    <w:rsid w:val="00E040BB"/>
    <w:rsid w:val="00E278CE"/>
    <w:rsid w:val="00E456E9"/>
    <w:rsid w:val="00E47F80"/>
    <w:rsid w:val="00E513C9"/>
    <w:rsid w:val="00E53EF5"/>
    <w:rsid w:val="00E6371E"/>
    <w:rsid w:val="00E82D56"/>
    <w:rsid w:val="00ED5543"/>
    <w:rsid w:val="00ED5833"/>
    <w:rsid w:val="00ED60B0"/>
    <w:rsid w:val="00EE08FE"/>
    <w:rsid w:val="00EE4053"/>
    <w:rsid w:val="00EF1CB1"/>
    <w:rsid w:val="00EF5197"/>
    <w:rsid w:val="00F167D2"/>
    <w:rsid w:val="00F205E8"/>
    <w:rsid w:val="00F30A79"/>
    <w:rsid w:val="00F30C25"/>
    <w:rsid w:val="00F30CEA"/>
    <w:rsid w:val="00F45504"/>
    <w:rsid w:val="00F50B1A"/>
    <w:rsid w:val="00F730F1"/>
    <w:rsid w:val="00F8654F"/>
    <w:rsid w:val="00F91E67"/>
    <w:rsid w:val="00FA0A30"/>
    <w:rsid w:val="00FB2B48"/>
    <w:rsid w:val="00FB5CE3"/>
    <w:rsid w:val="00FC108B"/>
    <w:rsid w:val="00FC2CB1"/>
    <w:rsid w:val="00FC73CC"/>
    <w:rsid w:val="00FE7554"/>
    <w:rsid w:val="00FF4175"/>
    <w:rsid w:val="00FF6B65"/>
    <w:rsid w:val="027B7271"/>
    <w:rsid w:val="03021CEE"/>
    <w:rsid w:val="048F1862"/>
    <w:rsid w:val="1645753E"/>
    <w:rsid w:val="274C1CFF"/>
    <w:rsid w:val="30C34F44"/>
    <w:rsid w:val="3F8B26E0"/>
    <w:rsid w:val="46DB5471"/>
    <w:rsid w:val="4C4B3473"/>
    <w:rsid w:val="4D7F033E"/>
    <w:rsid w:val="61E467BF"/>
    <w:rsid w:val="641C5B42"/>
    <w:rsid w:val="73D626BB"/>
    <w:rsid w:val="7B543B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中国总会计师协会</Company>
  <Pages>7</Pages>
  <Words>481</Words>
  <Characters>2742</Characters>
  <Lines>22</Lines>
  <Paragraphs>6</Paragraphs>
  <TotalTime>118</TotalTime>
  <ScaleCrop>false</ScaleCrop>
  <LinksUpToDate>false</LinksUpToDate>
  <CharactersWithSpaces>3217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2017-04-01T03:17:00Z</dcterms:created>
  <dc:creator>GuoWei</dc:creator>
  <cp:lastModifiedBy>cfo</cp:lastModifiedBy>
  <cp:lastPrinted>2020-12-28T07:37:16Z</cp:lastPrinted>
  <dcterms:modified xsi:type="dcterms:W3CDTF">2020-12-28T07:50:42Z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