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before="100" w:after="100" w:line="500" w:lineRule="exact"/>
        <w:ind w:right="640"/>
        <w:rPr>
          <w:rFonts w:cs="宋体" w:asciiTheme="minorEastAsia" w:hAnsiTheme="minorEastAsia" w:eastAsiaTheme="minorEastAsia"/>
          <w:b w:val="0"/>
          <w:bCs/>
          <w:color w:val="000000"/>
          <w:spacing w:val="-20"/>
          <w:kern w:val="0"/>
          <w:sz w:val="28"/>
          <w:szCs w:val="28"/>
        </w:rPr>
      </w:pPr>
      <w:r>
        <w:rPr>
          <w:rFonts w:hint="eastAsia" w:cs="宋体" w:asciiTheme="minorEastAsia" w:hAnsiTheme="minorEastAsia" w:eastAsiaTheme="minorEastAsia"/>
          <w:b w:val="0"/>
          <w:bCs/>
          <w:color w:val="000000"/>
          <w:spacing w:val="-20"/>
          <w:kern w:val="0"/>
          <w:sz w:val="28"/>
          <w:szCs w:val="28"/>
        </w:rPr>
        <w:t>附件2:</w:t>
      </w:r>
    </w:p>
    <w:p>
      <w:pPr>
        <w:wordWrap w:val="0"/>
        <w:snapToGrid w:val="0"/>
        <w:spacing w:before="100" w:after="100" w:line="500" w:lineRule="exact"/>
        <w:ind w:right="640"/>
        <w:jc w:val="center"/>
        <w:rPr>
          <w:rFonts w:hint="eastAsia" w:cs="宋体" w:asciiTheme="minorEastAsia" w:hAnsiTheme="minorEastAsia" w:eastAsiaTheme="minorEastAsia"/>
          <w:b/>
          <w:color w:val="000000"/>
          <w:spacing w:val="-20"/>
          <w:kern w:val="0"/>
          <w:sz w:val="28"/>
          <w:szCs w:val="28"/>
        </w:rPr>
      </w:pPr>
      <w:r>
        <w:rPr>
          <w:rFonts w:hint="eastAsia" w:asciiTheme="minorEastAsia" w:hAnsiTheme="minorEastAsia" w:eastAsiaTheme="minorEastAsia" w:cstheme="minorEastAsia"/>
          <w:b/>
          <w:sz w:val="28"/>
          <w:szCs w:val="28"/>
        </w:rPr>
        <w:t>新时代</w:t>
      </w:r>
      <w:r>
        <w:rPr>
          <w:rFonts w:hint="eastAsia" w:asciiTheme="minorEastAsia" w:hAnsiTheme="minorEastAsia" w:eastAsiaTheme="minorEastAsia" w:cstheme="minorEastAsia"/>
          <w:b/>
          <w:color w:val="000000"/>
          <w:kern w:val="0"/>
          <w:sz w:val="28"/>
          <w:szCs w:val="28"/>
        </w:rPr>
        <w:t>行政事业单位财务与管理人员专业能力提升培训班</w:t>
      </w:r>
    </w:p>
    <w:p>
      <w:pPr>
        <w:wordWrap w:val="0"/>
        <w:snapToGrid w:val="0"/>
        <w:spacing w:before="100" w:after="100" w:line="500" w:lineRule="exact"/>
        <w:ind w:right="640"/>
        <w:jc w:val="center"/>
        <w:rPr>
          <w:rFonts w:cs="宋体" w:asciiTheme="minorEastAsia" w:hAnsiTheme="minorEastAsia" w:eastAsiaTheme="minorEastAsia"/>
          <w:b/>
          <w:color w:val="000000"/>
          <w:spacing w:val="-20"/>
          <w:kern w:val="0"/>
          <w:sz w:val="28"/>
          <w:szCs w:val="28"/>
        </w:rPr>
      </w:pPr>
      <w:r>
        <w:rPr>
          <w:rFonts w:hint="eastAsia" w:cs="宋体" w:asciiTheme="minorEastAsia" w:hAnsiTheme="minorEastAsia" w:eastAsiaTheme="minorEastAsia"/>
          <w:b/>
          <w:bCs/>
          <w:spacing w:val="8"/>
          <w:sz w:val="28"/>
          <w:szCs w:val="28"/>
        </w:rPr>
        <w:t>专题内容</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cs="宋体" w:asciiTheme="minorEastAsia" w:hAnsiTheme="minorEastAsia" w:eastAsiaTheme="minorEastAsia"/>
          <w:b/>
          <w:bCs/>
          <w:spacing w:val="8"/>
          <w:sz w:val="28"/>
          <w:szCs w:val="28"/>
        </w:rPr>
      </w:pPr>
      <w:r>
        <w:rPr>
          <w:rFonts w:hint="eastAsia" w:cs="宋体" w:asciiTheme="minorEastAsia" w:hAnsiTheme="minorEastAsia" w:eastAsiaTheme="minorEastAsia"/>
          <w:b/>
          <w:spacing w:val="8"/>
          <w:sz w:val="28"/>
          <w:szCs w:val="28"/>
        </w:rPr>
        <w:t>专题一：行政事业单位</w:t>
      </w:r>
      <w:r>
        <w:rPr>
          <w:rFonts w:hint="eastAsia" w:cs="宋体" w:asciiTheme="minorEastAsia" w:hAnsiTheme="minorEastAsia" w:eastAsiaTheme="minorEastAsia"/>
          <w:b/>
          <w:bCs/>
          <w:spacing w:val="8"/>
          <w:sz w:val="28"/>
          <w:szCs w:val="28"/>
        </w:rPr>
        <w:t>全面实施预算绩效管理政策应用</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 xml:space="preserve">    2018年9月25日新华社授权发布《中共中央国务院关于全面实施预算绩效管理的意见》，财政部于2018年11月8日又印发了关于贯彻落实《中共中央国务院关于全面实施预算绩效管理的意见》的通知，（中发【2018】34号）精神，深化财税体制改革、建立现代财政制度、优化财政资源配置、提升公共服务质量水平，推进国家治理体系和治理能力现代化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就变得尤为紧迫和必要。政府预算是实现科学化、规范化、现代化的财政管理行为的基础，财政资金绩效评价是衡量单位主体行政及管理效率的重要手段</w:t>
      </w:r>
      <w:r>
        <w:rPr>
          <w:rFonts w:hint="eastAsia" w:asciiTheme="minorEastAsia" w:hAnsiTheme="minorEastAsia" w:eastAsiaTheme="minorEastAsia" w:cstheme="minorEastAsia"/>
          <w:b/>
          <w:bCs/>
          <w:spacing w:val="8"/>
          <w:sz w:val="28"/>
          <w:szCs w:val="28"/>
        </w:rPr>
        <w:t>。</w:t>
      </w:r>
    </w:p>
    <w:p>
      <w:pPr>
        <w:widowControl/>
        <w:spacing w:line="440" w:lineRule="exact"/>
        <w:jc w:val="left"/>
        <w:rPr>
          <w:rFonts w:cs="宋体" w:asciiTheme="minorEastAsia" w:hAnsiTheme="minorEastAsia" w:eastAsiaTheme="minorEastAsia"/>
          <w:b/>
          <w:spacing w:val="8"/>
          <w:sz w:val="28"/>
          <w:szCs w:val="28"/>
        </w:rPr>
      </w:pPr>
      <w:r>
        <w:rPr>
          <w:rFonts w:hint="eastAsia" w:cs="宋体" w:asciiTheme="minorEastAsia" w:hAnsiTheme="minorEastAsia" w:eastAsiaTheme="minorEastAsia"/>
          <w:b/>
          <w:spacing w:val="8"/>
          <w:sz w:val="28"/>
          <w:szCs w:val="28"/>
        </w:rPr>
        <w:t>（二）</w:t>
      </w:r>
      <w:r>
        <w:rPr>
          <w:rFonts w:cs="宋体" w:asciiTheme="minorEastAsia" w:hAnsiTheme="minorEastAsia" w:eastAsiaTheme="minorEastAsia"/>
          <w:b/>
          <w:spacing w:val="8"/>
          <w:sz w:val="28"/>
          <w:szCs w:val="28"/>
        </w:rPr>
        <w:t>课程内容：</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cs="宋体" w:asciiTheme="minorEastAsia" w:hAnsiTheme="minorEastAsia" w:eastAsiaTheme="minorEastAsia"/>
          <w:bCs/>
          <w:spacing w:val="8"/>
          <w:sz w:val="28"/>
          <w:szCs w:val="28"/>
        </w:rPr>
        <w:t>2020年预算绩效评价工作</w:t>
      </w:r>
      <w:r>
        <w:rPr>
          <w:rFonts w:hint="eastAsia" w:cs="宋体" w:asciiTheme="minorEastAsia" w:hAnsiTheme="minorEastAsia" w:eastAsiaTheme="minorEastAsia"/>
          <w:bCs/>
          <w:spacing w:val="8"/>
          <w:sz w:val="28"/>
          <w:szCs w:val="28"/>
        </w:rPr>
        <w:t>重点</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行政事业单位开展预算绩效管理的现实意义及政策文件解读</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绩效管理与精细化预算管理一体化的实现路径</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绩效目标管理的路径和方法</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高质量全过程绩效评价方案及报告撰写的思路和方法</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部门整体支出和财政政策支出绩效评价制度设计及案例讲解</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个性化及其针对性评价指标体系设置的思路和方法</w:t>
      </w:r>
    </w:p>
    <w:p>
      <w:pPr>
        <w:pStyle w:val="4"/>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绩效评价实务操作案例讲解（差评案例和优秀案例分析）</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cs="宋体" w:asciiTheme="minorEastAsia" w:hAnsiTheme="minorEastAsia" w:eastAsiaTheme="minorEastAsia"/>
          <w:b/>
          <w:spacing w:val="8"/>
          <w:sz w:val="28"/>
          <w:szCs w:val="28"/>
        </w:rPr>
      </w:pPr>
      <w:r>
        <w:rPr>
          <w:rFonts w:hint="eastAsia" w:cs="宋体" w:asciiTheme="minorEastAsia" w:hAnsiTheme="minorEastAsia" w:eastAsiaTheme="minorEastAsia"/>
          <w:b/>
          <w:spacing w:val="8"/>
          <w:sz w:val="28"/>
          <w:szCs w:val="28"/>
        </w:rPr>
        <w:t>专题二：政府会计准则（制度）热点难点问题解析</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2020年是我国政府会计准则与政府会计制度实施的第二年，也是关键的一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政府会计制度实施中热点难点问题</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政府会计准则最新进展</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政府会计调整具体准则解读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政府会计负债具体准则解读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政府财务报表编制与列报具体准则解读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政府财务报表分析</w:t>
      </w:r>
    </w:p>
    <w:p>
      <w:pPr>
        <w:keepNext w:val="0"/>
        <w:keepLines w:val="0"/>
        <w:pageBreakBefore w:val="0"/>
        <w:widowControl/>
        <w:kinsoku/>
        <w:wordWrap/>
        <w:overflowPunct/>
        <w:topLinePunct w:val="0"/>
        <w:autoSpaceDE/>
        <w:autoSpaceDN/>
        <w:bidi w:val="0"/>
        <w:adjustRightInd/>
        <w:snapToGrid/>
        <w:spacing w:before="0" w:beforeLines="50" w:after="0" w:afterLines="50" w:line="460" w:lineRule="exact"/>
        <w:ind w:left="-113"/>
        <w:jc w:val="left"/>
        <w:textAlignment w:val="auto"/>
        <w:rPr>
          <w:rFonts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
          <w:spacing w:val="8"/>
          <w:sz w:val="28"/>
          <w:szCs w:val="28"/>
        </w:rPr>
        <w:t>专题</w:t>
      </w:r>
      <w:r>
        <w:rPr>
          <w:rFonts w:hint="eastAsia" w:asciiTheme="minorEastAsia" w:hAnsiTheme="minorEastAsia" w:eastAsiaTheme="minorEastAsia" w:cstheme="minorEastAsia"/>
          <w:b/>
          <w:spacing w:val="8"/>
          <w:sz w:val="28"/>
          <w:szCs w:val="28"/>
          <w:lang w:eastAsia="zh-CN"/>
        </w:rPr>
        <w:t>三</w:t>
      </w:r>
      <w:r>
        <w:rPr>
          <w:rFonts w:hint="eastAsia" w:asciiTheme="minorEastAsia" w:hAnsiTheme="minorEastAsia" w:eastAsiaTheme="minorEastAsia" w:cstheme="minorEastAsia"/>
          <w:b/>
          <w:spacing w:val="8"/>
          <w:sz w:val="28"/>
          <w:szCs w:val="28"/>
        </w:rPr>
        <w:t>：</w:t>
      </w:r>
      <w:r>
        <w:rPr>
          <w:rFonts w:hint="eastAsia" w:asciiTheme="minorEastAsia" w:hAnsiTheme="minorEastAsia" w:eastAsiaTheme="minorEastAsia" w:cstheme="minorEastAsia"/>
          <w:b/>
          <w:bCs/>
          <w:spacing w:val="8"/>
          <w:sz w:val="28"/>
          <w:szCs w:val="28"/>
        </w:rPr>
        <w:t>行政事业单位资产管理</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 xml:space="preserve">   </w:t>
      </w:r>
      <w:r>
        <w:rPr>
          <w:rFonts w:hint="eastAsia" w:asciiTheme="minorEastAsia" w:hAnsiTheme="minorEastAsia" w:eastAsiaTheme="minorEastAsia" w:cstheme="minorEastAsia"/>
          <w:bCs/>
          <w:spacing w:val="8"/>
          <w:sz w:val="28"/>
          <w:szCs w:val="28"/>
          <w:lang w:val="en-US" w:eastAsia="zh-CN"/>
        </w:rPr>
        <w:t xml:space="preserve"> </w:t>
      </w:r>
      <w:r>
        <w:rPr>
          <w:rFonts w:hint="eastAsia" w:asciiTheme="minorEastAsia" w:hAnsiTheme="minorEastAsia" w:eastAsiaTheme="minorEastAsia" w:cstheme="minorEastAsia"/>
          <w:bCs/>
          <w:spacing w:val="8"/>
          <w:sz w:val="28"/>
          <w:szCs w:val="28"/>
        </w:rPr>
        <w:t>本专题培训旨在全面规范和加强行政事业单位国有资产和财务管理工作，课程将深入剖析单位资产、财务管理的现状和问题，在此基础上，以“制度+案例”的形式，深度解读行政事业单位国有资产管理政策和政府会计准则及制度，并结合单位内部控制规范，全面梳理单位内部资产管理与财务管理流程，通过信息化案例教学，引导单位探索开展业财融合信息化工作，进一步提升行政事业单位资产和财务管理水平。</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keepNext w:val="0"/>
        <w:keepLines w:val="0"/>
        <w:pageBreakBefore w:val="0"/>
        <w:widowControl/>
        <w:numPr>
          <w:ilvl w:val="0"/>
          <w:numId w:val="3"/>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行政事业单位</w:t>
      </w:r>
      <w:r>
        <w:rPr>
          <w:rFonts w:hint="eastAsia" w:asciiTheme="minorEastAsia" w:hAnsiTheme="minorEastAsia" w:eastAsiaTheme="minorEastAsia" w:cstheme="minorEastAsia"/>
          <w:bCs/>
          <w:spacing w:val="8"/>
          <w:sz w:val="28"/>
          <w:szCs w:val="28"/>
        </w:rPr>
        <w:t>国有</w:t>
      </w:r>
      <w:r>
        <w:rPr>
          <w:rFonts w:asciiTheme="minorEastAsia" w:hAnsiTheme="minorEastAsia" w:eastAsiaTheme="minorEastAsia" w:cstheme="minorEastAsia"/>
          <w:bCs/>
          <w:spacing w:val="8"/>
          <w:sz w:val="28"/>
          <w:szCs w:val="28"/>
        </w:rPr>
        <w:t>资产管理</w:t>
      </w:r>
      <w:r>
        <w:rPr>
          <w:rFonts w:hint="eastAsia" w:asciiTheme="minorEastAsia" w:hAnsiTheme="minorEastAsia" w:eastAsiaTheme="minorEastAsia" w:cstheme="minorEastAsia"/>
          <w:bCs/>
          <w:spacing w:val="8"/>
          <w:sz w:val="28"/>
          <w:szCs w:val="28"/>
        </w:rPr>
        <w:t>政策与实务</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行政事业单位国有资产管理政策体系</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行政事业单位国有资产配置管理、使用管理、处置管理、清查核实、产权登记、评估管理、监督管理、报告管理讲解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行政事业单位国有资产信息化案例</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政府会计准则</w:t>
      </w:r>
      <w:r>
        <w:rPr>
          <w:rFonts w:hint="eastAsia" w:asciiTheme="minorEastAsia" w:hAnsiTheme="minorEastAsia" w:eastAsiaTheme="minorEastAsia" w:cstheme="minorEastAsia"/>
          <w:bCs/>
          <w:spacing w:val="8"/>
          <w:sz w:val="28"/>
          <w:szCs w:val="28"/>
        </w:rPr>
        <w:t>和</w:t>
      </w:r>
      <w:r>
        <w:rPr>
          <w:rFonts w:asciiTheme="minorEastAsia" w:hAnsiTheme="minorEastAsia" w:eastAsiaTheme="minorEastAsia" w:cstheme="minorEastAsia"/>
          <w:bCs/>
          <w:spacing w:val="8"/>
          <w:sz w:val="28"/>
          <w:szCs w:val="28"/>
        </w:rPr>
        <w:t>制度</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财务会计资产类科目实务讲解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财务会计负债类科目实务讲解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财务会计收入类科目实务讲解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财务会计费用类科目实务讲解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财务会计净资产类科目实务讲解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预算会计收入类科目实务讲解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预算会计支出类科目实务讲解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预算会计结余类科目实务讲解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报表格式及编报说明实务讲解</w:t>
      </w:r>
    </w:p>
    <w:p>
      <w:pPr>
        <w:pStyle w:val="4"/>
        <w:keepNext w:val="0"/>
        <w:keepLines w:val="0"/>
        <w:pageBreakBefore w:val="0"/>
        <w:numPr>
          <w:ilvl w:val="0"/>
          <w:numId w:val="3"/>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sz w:val="28"/>
          <w:szCs w:val="28"/>
        </w:rPr>
      </w:pPr>
      <w:r>
        <w:rPr>
          <w:rFonts w:hint="eastAsia" w:asciiTheme="minorEastAsia" w:hAnsiTheme="minorEastAsia" w:eastAsiaTheme="minorEastAsia" w:cstheme="minorEastAsia"/>
          <w:bCs/>
          <w:spacing w:val="8"/>
          <w:sz w:val="28"/>
          <w:szCs w:val="28"/>
        </w:rPr>
        <w:t>业财融合信息化案例讲解</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ind w:left="-113"/>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w:t>
      </w:r>
      <w:r>
        <w:rPr>
          <w:rFonts w:hint="eastAsia" w:asciiTheme="minorEastAsia" w:hAnsiTheme="minorEastAsia" w:eastAsiaTheme="minorEastAsia" w:cstheme="minorEastAsia"/>
          <w:b/>
          <w:spacing w:val="8"/>
          <w:sz w:val="28"/>
          <w:szCs w:val="28"/>
          <w:lang w:eastAsia="zh-CN"/>
        </w:rPr>
        <w:t>四</w:t>
      </w:r>
      <w:r>
        <w:rPr>
          <w:rFonts w:hint="eastAsia" w:asciiTheme="minorEastAsia" w:hAnsiTheme="minorEastAsia" w:eastAsiaTheme="minorEastAsia" w:cstheme="minorEastAsia"/>
          <w:b/>
          <w:spacing w:val="8"/>
          <w:sz w:val="28"/>
          <w:szCs w:val="28"/>
        </w:rPr>
        <w:t>：政府财务报告编制与分析</w:t>
      </w:r>
    </w:p>
    <w:p>
      <w:pPr>
        <w:keepNext w:val="0"/>
        <w:keepLines w:val="0"/>
        <w:pageBreakBefore w:val="0"/>
        <w:widowControl/>
        <w:kinsoku/>
        <w:wordWrap/>
        <w:overflowPunct/>
        <w:topLinePunct w:val="0"/>
        <w:autoSpaceDE/>
        <w:autoSpaceDN/>
        <w:bidi w:val="0"/>
        <w:adjustRightInd/>
        <w:snapToGrid/>
        <w:spacing w:before="0" w:beforeLines="50" w:after="0" w:afterLines="50" w:line="48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为加快推进权责发生制政府综合财务报告制度改革，根据《中华人民共和国预算法》、《国务院关于批转财政部权责发生制政府综合财务报告制度改革方案的通知》（国发〔2014〕63号）、《财政部关于印发〈政府财务报告编制办法（试行）〉的通知》（财库〔2015〕212号）等有关规定，推出“政府财务报告编制与分析”课题。</w:t>
      </w:r>
    </w:p>
    <w:p>
      <w:pPr>
        <w:keepNext w:val="0"/>
        <w:keepLines w:val="0"/>
        <w:pageBreakBefore w:val="0"/>
        <w:widowControl/>
        <w:kinsoku/>
        <w:wordWrap/>
        <w:overflowPunct/>
        <w:topLinePunct w:val="0"/>
        <w:autoSpaceDE/>
        <w:autoSpaceDN/>
        <w:bidi w:val="0"/>
        <w:adjustRightInd/>
        <w:snapToGrid/>
        <w:spacing w:before="0" w:beforeLines="50" w:after="0" w:afterLines="50" w:line="480" w:lineRule="exact"/>
        <w:jc w:val="left"/>
        <w:textAlignment w:val="auto"/>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pStyle w:val="4"/>
        <w:keepNext w:val="0"/>
        <w:keepLines w:val="0"/>
        <w:pageBreakBefore w:val="0"/>
        <w:numPr>
          <w:ilvl w:val="0"/>
          <w:numId w:val="3"/>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政府部门财务报告主要内容</w:t>
      </w:r>
    </w:p>
    <w:p>
      <w:pPr>
        <w:pStyle w:val="4"/>
        <w:keepNext w:val="0"/>
        <w:keepLines w:val="0"/>
        <w:pageBreakBefore w:val="0"/>
        <w:numPr>
          <w:ilvl w:val="0"/>
          <w:numId w:val="3"/>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政府财务报告编制</w:t>
      </w:r>
    </w:p>
    <w:p>
      <w:pPr>
        <w:pStyle w:val="4"/>
        <w:keepNext w:val="0"/>
        <w:keepLines w:val="0"/>
        <w:pageBreakBefore w:val="0"/>
        <w:numPr>
          <w:ilvl w:val="0"/>
          <w:numId w:val="3"/>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政府财务报告数据质量审核</w:t>
      </w:r>
    </w:p>
    <w:p>
      <w:pPr>
        <w:pStyle w:val="4"/>
        <w:keepNext w:val="0"/>
        <w:keepLines w:val="0"/>
        <w:pageBreakBefore w:val="0"/>
        <w:numPr>
          <w:ilvl w:val="0"/>
          <w:numId w:val="3"/>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政府财务报告数据资料管理</w:t>
      </w:r>
    </w:p>
    <w:p>
      <w:pPr>
        <w:pStyle w:val="4"/>
        <w:keepNext w:val="0"/>
        <w:keepLines w:val="0"/>
        <w:pageBreakBefore w:val="0"/>
        <w:numPr>
          <w:ilvl w:val="0"/>
          <w:numId w:val="3"/>
        </w:numPr>
        <w:kinsoku/>
        <w:wordWrap/>
        <w:overflowPunct/>
        <w:topLinePunct w:val="0"/>
        <w:autoSpaceDE/>
        <w:autoSpaceDN/>
        <w:bidi w:val="0"/>
        <w:adjustRightInd/>
        <w:snapToGrid/>
        <w:spacing w:line="480" w:lineRule="exact"/>
        <w:ind w:firstLineChars="0"/>
        <w:textAlignment w:val="auto"/>
        <w:rPr>
          <w:rFonts w:hint="eastAsia"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职责分工</w:t>
      </w:r>
    </w:p>
    <w:p>
      <w:pPr>
        <w:pStyle w:val="4"/>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
          <w:spacing w:val="8"/>
          <w:sz w:val="28"/>
          <w:szCs w:val="28"/>
        </w:rPr>
        <w:t>专题</w:t>
      </w:r>
      <w:r>
        <w:rPr>
          <w:rFonts w:hint="eastAsia" w:asciiTheme="minorEastAsia" w:hAnsiTheme="minorEastAsia" w:eastAsiaTheme="minorEastAsia" w:cstheme="minorEastAsia"/>
          <w:b/>
          <w:spacing w:val="8"/>
          <w:sz w:val="28"/>
          <w:szCs w:val="28"/>
          <w:lang w:eastAsia="zh-CN"/>
        </w:rPr>
        <w:t>五</w:t>
      </w:r>
      <w:r>
        <w:rPr>
          <w:rFonts w:hint="eastAsia" w:asciiTheme="minorEastAsia" w:hAnsiTheme="minorEastAsia" w:eastAsiaTheme="minorEastAsia" w:cstheme="minorEastAsia"/>
          <w:b/>
          <w:spacing w:val="8"/>
          <w:sz w:val="28"/>
          <w:szCs w:val="28"/>
        </w:rPr>
        <w:t>：</w:t>
      </w:r>
      <w:r>
        <w:rPr>
          <w:rFonts w:hint="eastAsia" w:asciiTheme="minorEastAsia" w:hAnsiTheme="minorEastAsia" w:eastAsiaTheme="minorEastAsia" w:cstheme="minorEastAsia"/>
          <w:b/>
          <w:bCs/>
          <w:spacing w:val="8"/>
          <w:sz w:val="28"/>
          <w:szCs w:val="28"/>
        </w:rPr>
        <w:t>财务人员法律素质提升与《民法典》权威解读</w:t>
      </w:r>
    </w:p>
    <w:p>
      <w:pPr>
        <w:pStyle w:val="4"/>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宋体" w:hAnsi="宋体" w:cs="宋体"/>
          <w:bCs/>
          <w:spacing w:val="8"/>
          <w:sz w:val="28"/>
          <w:szCs w:val="28"/>
        </w:rPr>
      </w:pPr>
      <w:r>
        <w:rPr>
          <w:rFonts w:hint="eastAsia" w:ascii="宋体" w:hAnsi="宋体" w:cs="宋体"/>
          <w:bCs/>
          <w:spacing w:val="8"/>
          <w:sz w:val="28"/>
          <w:szCs w:val="28"/>
        </w:rPr>
        <w:t>为</w:t>
      </w:r>
      <w:r>
        <w:rPr>
          <w:rFonts w:hint="eastAsia" w:asciiTheme="minorEastAsia" w:hAnsiTheme="minorEastAsia" w:eastAsiaTheme="minorEastAsia" w:cstheme="minorEastAsia"/>
          <w:bCs/>
          <w:spacing w:val="8"/>
          <w:sz w:val="28"/>
          <w:szCs w:val="28"/>
        </w:rPr>
        <w:t>贯彻学习宣传《民法典》的精神,便于社会各界尤其是政法界、实务界人士更好地了解民法典编篡的背景、意义以及正确理解,深入解读《民法典》对民事法律行为的构成事件、行为主体要求及法律责任,掌握《民法典》的内容、框架、结构,</w:t>
      </w:r>
      <w:r>
        <w:rPr>
          <w:rFonts w:hint="eastAsia" w:ascii="宋体" w:hAnsi="宋体" w:cs="宋体"/>
          <w:bCs/>
          <w:spacing w:val="8"/>
          <w:sz w:val="28"/>
          <w:szCs w:val="28"/>
        </w:rPr>
        <w:t xml:space="preserve"> 帮助社会各界准确理解《中华人民共和国民法典》精神，加强社会各界对民法典学习和探讨。</w:t>
      </w:r>
    </w:p>
    <w:p>
      <w:pPr>
        <w:pStyle w:val="4"/>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民法典的概述、制定及重要意义</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民法典基本规定权威解读</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重点与法律关系及特点</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民法典的构成要件、行为主体及责任方式</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民法典调整对象的基本原则及热点难点解析</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 xml:space="preserve">精选的民法典案例分析以及实务操作 </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val="0"/>
          <w:bCs/>
          <w:sz w:val="28"/>
          <w:szCs w:val="28"/>
        </w:rPr>
      </w:pPr>
      <w:r>
        <w:rPr>
          <w:rFonts w:hint="eastAsia" w:cs="宋体" w:asciiTheme="minorEastAsia" w:hAnsiTheme="minorEastAsia" w:eastAsiaTheme="minorEastAsia"/>
          <w:bCs/>
          <w:color w:val="000000"/>
          <w:kern w:val="0"/>
          <w:sz w:val="28"/>
          <w:szCs w:val="28"/>
        </w:rPr>
        <w:t>民法典编撰争议问题的类型化分析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2">
    <w:nsid w:val="67242F0A"/>
    <w:multiLevelType w:val="multilevel"/>
    <w:tmpl w:val="67242F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92B7F"/>
    <w:rsid w:val="7E89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2020-11-23T03:01:00Z</dcterms:created>
  <dc:creator>桑立强</dc:creator>
  <cp:lastModifiedBy>桑立强</cp:lastModifiedBy>
  <dcterms:modified xsi:type="dcterms:W3CDTF">2020-11-23T03:02:13Z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