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left="-486" w:leftChars="-203" w:right="-552" w:rightChars="-230" w:hanging="1"/>
        <w:jc w:val="center"/>
        <w:rPr>
          <w:rFonts w:cs="黑体"/>
          <w:b/>
          <w:bCs/>
          <w:kern w:val="10"/>
          <w:sz w:val="32"/>
          <w:szCs w:val="32"/>
        </w:rPr>
      </w:pPr>
      <w:r>
        <w:rPr>
          <w:rFonts w:hint="eastAsia" w:cs="黑体"/>
          <w:b/>
          <w:bCs/>
          <w:kern w:val="10"/>
          <w:sz w:val="32"/>
          <w:szCs w:val="32"/>
        </w:rPr>
        <w:t>管理会计与智能财税体系建设，财务转型与智能财务</w:t>
      </w:r>
    </w:p>
    <w:p>
      <w:pPr>
        <w:spacing w:line="420" w:lineRule="exact"/>
        <w:ind w:left="-486" w:leftChars="-203" w:right="-552" w:rightChars="-230" w:hanging="1"/>
        <w:jc w:val="center"/>
        <w:rPr>
          <w:rFonts w:cs="黑体"/>
          <w:b/>
          <w:bCs/>
          <w:kern w:val="10"/>
          <w:sz w:val="32"/>
          <w:szCs w:val="32"/>
        </w:rPr>
      </w:pPr>
      <w:r>
        <w:rPr>
          <w:rFonts w:hint="eastAsia" w:cs="黑体"/>
          <w:b/>
          <w:bCs/>
          <w:kern w:val="10"/>
          <w:sz w:val="32"/>
          <w:szCs w:val="32"/>
        </w:rPr>
        <w:t>共享中心建设运营提升专题研讨活动工作方案</w:t>
      </w:r>
    </w:p>
    <w:p>
      <w:pPr>
        <w:spacing w:before="468" w:beforeLines="1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sz w:val="30"/>
          <w:szCs w:val="30"/>
        </w:rPr>
        <w:t>专题：管理会计与智能财税体系建设</w:t>
      </w:r>
    </w:p>
    <w:p>
      <w:pPr>
        <w:tabs>
          <w:tab w:val="left" w:pos="656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年10月23日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27日</w:t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地点：郑州市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（二）专题: 财务转型与智能财务共享中心建设运营提升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时间：2020年11月15日—19日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地点：海口市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（具体地址开会前十天见报到通知）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5"/>
        <w:numPr>
          <w:ilvl w:val="0"/>
          <w:numId w:val="1"/>
        </w:numPr>
        <w:spacing w:line="440" w:lineRule="exact"/>
        <w:ind w:right="-552" w:rightChars="-230" w:firstLineChars="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政府机关、企事业单位总会计师、财务总监、首席财务官、财务部门负责人；财务和税务经理、主管等；财务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sz w:val="30"/>
          <w:szCs w:val="30"/>
        </w:rPr>
        <w:t>CPA</w:t>
      </w:r>
      <w:r>
        <w:rPr>
          <w:rFonts w:hint="eastAsia" w:ascii="仿宋" w:hAnsi="仿宋" w:eastAsia="仿宋" w:cs="仿宋"/>
          <w:sz w:val="30"/>
          <w:szCs w:val="30"/>
        </w:rPr>
        <w:t>、咨询师；金融行业金融分析师、风险控制师；大中专院校会计专业教师；需要加强会计知识学习和提升的各单位主要负责人等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三、研讨内容   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专题一：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管理会计与智能财税体系建设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（一）智能财税建设与财务转型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智能财税与数字化转型；</w:t>
      </w:r>
      <w:r>
        <w:rPr>
          <w:rFonts w:ascii="仿宋" w:hAnsi="仿宋" w:eastAsia="仿宋" w:cs="仿宋"/>
          <w:sz w:val="30"/>
          <w:szCs w:val="30"/>
        </w:rPr>
        <w:t>智能财</w:t>
      </w:r>
      <w:r>
        <w:rPr>
          <w:rFonts w:hint="eastAsia" w:ascii="仿宋" w:hAnsi="仿宋" w:eastAsia="仿宋" w:cs="仿宋"/>
          <w:sz w:val="30"/>
          <w:szCs w:val="30"/>
        </w:rPr>
        <w:t>税</w:t>
      </w:r>
      <w:r>
        <w:rPr>
          <w:rFonts w:ascii="仿宋" w:hAnsi="仿宋" w:eastAsia="仿宋" w:cs="仿宋"/>
          <w:sz w:val="30"/>
          <w:szCs w:val="30"/>
        </w:rPr>
        <w:t>信息化整体规划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智能财</w:t>
      </w:r>
      <w:r>
        <w:rPr>
          <w:rFonts w:hint="eastAsia" w:ascii="仿宋" w:hAnsi="仿宋" w:eastAsia="仿宋" w:cs="仿宋"/>
          <w:sz w:val="30"/>
          <w:szCs w:val="30"/>
        </w:rPr>
        <w:t>税</w:t>
      </w:r>
      <w:r>
        <w:rPr>
          <w:rFonts w:ascii="仿宋" w:hAnsi="仿宋" w:eastAsia="仿宋" w:cs="仿宋"/>
          <w:sz w:val="30"/>
          <w:szCs w:val="30"/>
        </w:rPr>
        <w:t>建设要点与难点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智能财</w:t>
      </w:r>
      <w:r>
        <w:rPr>
          <w:rFonts w:hint="eastAsia" w:ascii="仿宋" w:hAnsi="仿宋" w:eastAsia="仿宋" w:cs="仿宋"/>
          <w:sz w:val="30"/>
          <w:szCs w:val="30"/>
        </w:rPr>
        <w:t>税</w:t>
      </w:r>
      <w:r>
        <w:rPr>
          <w:rFonts w:ascii="仿宋" w:hAnsi="仿宋" w:eastAsia="仿宋" w:cs="仿宋"/>
          <w:sz w:val="30"/>
          <w:szCs w:val="30"/>
        </w:rPr>
        <w:t>运营流程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智能财</w:t>
      </w:r>
      <w:r>
        <w:rPr>
          <w:rFonts w:hint="eastAsia" w:ascii="仿宋" w:hAnsi="仿宋" w:eastAsia="仿宋" w:cs="仿宋"/>
          <w:sz w:val="30"/>
          <w:szCs w:val="30"/>
        </w:rPr>
        <w:t>税</w:t>
      </w:r>
      <w:r>
        <w:rPr>
          <w:rFonts w:ascii="仿宋" w:hAnsi="仿宋" w:eastAsia="仿宋" w:cs="仿宋"/>
          <w:sz w:val="30"/>
          <w:szCs w:val="30"/>
        </w:rPr>
        <w:t>建设典型案例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数字思维与大数据商业分析工具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大数据应用与业财融合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大数据应用与智能风控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智能财</w:t>
      </w:r>
      <w:r>
        <w:rPr>
          <w:rFonts w:hint="eastAsia" w:ascii="仿宋" w:hAnsi="仿宋" w:eastAsia="仿宋" w:cs="仿宋"/>
          <w:sz w:val="30"/>
          <w:szCs w:val="30"/>
        </w:rPr>
        <w:t>税</w:t>
      </w:r>
      <w:r>
        <w:rPr>
          <w:rFonts w:ascii="仿宋" w:hAnsi="仿宋" w:eastAsia="仿宋" w:cs="仿宋"/>
          <w:sz w:val="30"/>
          <w:szCs w:val="30"/>
        </w:rPr>
        <w:t>背景下的组织和人员能力框架转型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</w:t>
      </w:r>
      <w:r>
        <w:rPr>
          <w:rFonts w:ascii="仿宋" w:hAnsi="仿宋" w:eastAsia="仿宋" w:cs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智能化背景下成本、预算与绩效管理等管理会计新发展</w:t>
      </w:r>
    </w:p>
    <w:p>
      <w:pPr>
        <w:pStyle w:val="6"/>
        <w:spacing w:line="440" w:lineRule="exact"/>
        <w:ind w:left="-425" w:leftChars="-177" w:right="-482" w:rightChars="-201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基于商业智能的智能</w:t>
      </w:r>
      <w:r>
        <w:rPr>
          <w:rFonts w:ascii="仿宋" w:hAnsi="仿宋" w:eastAsia="仿宋" w:cs="仿宋"/>
          <w:color w:val="auto"/>
          <w:sz w:val="30"/>
          <w:szCs w:val="30"/>
        </w:rPr>
        <w:t>管理会计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平台</w:t>
      </w:r>
      <w:r>
        <w:rPr>
          <w:rFonts w:ascii="仿宋" w:hAnsi="仿宋" w:eastAsia="仿宋" w:cs="仿宋"/>
          <w:color w:val="auto"/>
          <w:sz w:val="30"/>
          <w:szCs w:val="30"/>
        </w:rPr>
        <w:t>整体框架与发展趋势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；基于提质增效</w:t>
      </w:r>
      <w:r>
        <w:rPr>
          <w:rFonts w:ascii="仿宋" w:hAnsi="仿宋" w:eastAsia="仿宋" w:cs="仿宋"/>
          <w:color w:val="auto"/>
          <w:sz w:val="30"/>
          <w:szCs w:val="30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全价值链</w:t>
      </w:r>
      <w:r>
        <w:rPr>
          <w:rFonts w:ascii="仿宋" w:hAnsi="仿宋" w:eastAsia="仿宋" w:cs="仿宋"/>
          <w:color w:val="auto"/>
          <w:sz w:val="30"/>
          <w:szCs w:val="30"/>
        </w:rPr>
        <w:t>成本管理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；</w:t>
      </w:r>
      <w:r>
        <w:rPr>
          <w:rFonts w:ascii="仿宋" w:hAnsi="仿宋" w:eastAsia="仿宋" w:cs="仿宋"/>
          <w:color w:val="auto"/>
          <w:sz w:val="30"/>
          <w:szCs w:val="30"/>
        </w:rPr>
        <w:t>战略导向下的预算管理；基于价值评价的绩效管理；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风险管理与财务智能化；智能化管理会计报告体系；管理会计与数字化转型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三</w:t>
      </w:r>
      <w:r>
        <w:rPr>
          <w:rFonts w:ascii="仿宋" w:hAnsi="仿宋" w:eastAsia="仿宋" w:cs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业财税一体化智能财务共享服务中心建设、运营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财务共享中心的战略结构、战略职能、流程；财务共享中心组织的定位、组织架构变化；财务共享中心人员安排；财务共享中心的地位及主要工作；</w:t>
      </w:r>
      <w:r>
        <w:rPr>
          <w:rFonts w:ascii="仿宋" w:hAnsi="仿宋" w:eastAsia="仿宋" w:cs="仿宋"/>
          <w:sz w:val="30"/>
          <w:szCs w:val="30"/>
        </w:rPr>
        <w:t>IT</w:t>
      </w:r>
      <w:r>
        <w:rPr>
          <w:rFonts w:hint="eastAsia" w:ascii="仿宋" w:hAnsi="仿宋" w:eastAsia="仿宋" w:cs="仿宋"/>
          <w:sz w:val="30"/>
          <w:szCs w:val="30"/>
        </w:rPr>
        <w:t>应用系统的选型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共享中心在企业管理中的定位；共享中心团队的绩效问题；共享中心人员的职业发展问题；财务共享服务中心的运营管理的案例分析；集团共享中心的衍生价值；</w:t>
      </w:r>
      <w:r>
        <w:rPr>
          <w:rFonts w:ascii="仿宋" w:hAnsi="仿宋" w:eastAsia="仿宋" w:cs="仿宋"/>
          <w:sz w:val="30"/>
          <w:szCs w:val="30"/>
        </w:rPr>
        <w:t>基于共享的智能报告模式及应用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财务共享中心数据中台的构建与整合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智能化背景下财务共享服务未来发展趋势；自动化、智能化在财务共享服务中心的应用；财务共享服务典型案例分析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（四）RPA在财务部门的应用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RPA在财务共享中心的应用与价值；RPA与财务管理变革；RPA的选择与实施；RPA应用流程示例；案例分享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五</w:t>
      </w:r>
      <w:r>
        <w:rPr>
          <w:rFonts w:ascii="仿宋" w:hAnsi="仿宋" w:eastAsia="仿宋" w:cs="仿宋"/>
          <w:b/>
          <w:bCs/>
          <w:sz w:val="30"/>
          <w:szCs w:val="30"/>
        </w:rPr>
        <w:t>）数据挖掘技术及应用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商业数据挖掘实际应用场景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从业务逻辑到数据逻辑的设计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数据库SQL与应用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Python原理与应用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商业数据挖掘与可视化图表及报告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六</w:t>
      </w:r>
      <w:r>
        <w:rPr>
          <w:rFonts w:ascii="仿宋" w:hAnsi="仿宋" w:eastAsia="仿宋" w:cs="仿宋"/>
          <w:b/>
          <w:bCs/>
          <w:sz w:val="30"/>
          <w:szCs w:val="30"/>
        </w:rPr>
        <w:t>）数据中台的构建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什么是财务中台及数据中台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中台与前后台的衔接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数据中台建设与运营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财务中台与业务中台的集成融合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财务中台实施案例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中台视角的数据资产规划与治理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Calibri" w:hAnsi="Calibri" w:eastAsia="仿宋" w:cs="Calibri"/>
          <w:b/>
          <w:bCs/>
          <w:sz w:val="30"/>
          <w:szCs w:val="30"/>
        </w:rPr>
        <w:t>七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）区块链与财务转型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“区块链+会计”的发展与前景展望；财务部门的区块链应用；区块链与财务共享中心；区块链与智能财务建设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（八）智能财务下能力素质要求与提升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财务组织从核算型转向管理决策型组织；财务人员从核算型人才转向决策支持与执行人员；财务管理如何适应财务体系数字化和智能化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（九）如何应对专票电子化变革、电子会计档案的政策与实践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（十）知名企业参观与实务专家面对面答题解惑</w:t>
      </w: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pacing w:line="42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专题二：财务转型与智能财务共享中心建设运营提升</w:t>
      </w:r>
    </w:p>
    <w:p>
      <w:pPr>
        <w:spacing w:line="42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ascii="仿宋" w:hAnsi="仿宋" w:eastAsia="仿宋" w:cs="仿宋"/>
          <w:b/>
          <w:sz w:val="30"/>
          <w:szCs w:val="30"/>
        </w:rPr>
        <w:t>（一）数字时代下的财务变革与转型</w:t>
      </w:r>
    </w:p>
    <w:p>
      <w:pPr>
        <w:spacing w:line="440" w:lineRule="exact"/>
        <w:ind w:left="-487" w:leftChars="-203" w:right="-552" w:rightChars="-23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人工智能时代发展与时代趋势；财务转型与财务思维创新；财务价值定位与能力框架重塑；财务共享的发展与演化；共享模式下的财务组织变革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（二）智能</w:t>
      </w:r>
      <w:r>
        <w:rPr>
          <w:rFonts w:hint="eastAsia" w:ascii="仿宋" w:hAnsi="仿宋" w:eastAsia="仿宋" w:cs="仿宋"/>
          <w:b/>
          <w:sz w:val="30"/>
          <w:szCs w:val="30"/>
        </w:rPr>
        <w:t>共享中心建设与企业管理转型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转型与组织变革；智能财务时代的财务共享服务概念与发展；共享服务的适用性问题；新一代共享服务建设中的核心要素；信息系统对共享服务的支撑；重新认识共享中心的意义与价值；共享中心本土化的困难与挑战</w:t>
      </w:r>
      <w:r>
        <w:rPr>
          <w:rFonts w:ascii="仿宋" w:hAnsi="仿宋" w:eastAsia="仿宋" w:cs="仿宋"/>
          <w:sz w:val="30"/>
          <w:szCs w:val="30"/>
        </w:rPr>
        <w:t>——</w:t>
      </w:r>
      <w:r>
        <w:rPr>
          <w:rFonts w:hint="eastAsia" w:ascii="仿宋" w:hAnsi="仿宋" w:eastAsia="仿宋" w:cs="仿宋"/>
          <w:sz w:val="30"/>
          <w:szCs w:val="30"/>
        </w:rPr>
        <w:t>共享对财务、税务、内控的影响；支持不同战略方向转型的共享中心建设案例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（三）智能化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财务共享服务中心的建设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财务共享中心的战略结构、战略职能、流程；财务共享中心组织的定位、组织架构变化；财务共享中心人员安排；财务共享中心的地位及主要工作；</w:t>
      </w:r>
      <w:r>
        <w:rPr>
          <w:rFonts w:ascii="仿宋" w:hAnsi="仿宋" w:eastAsia="仿宋" w:cs="仿宋"/>
          <w:sz w:val="30"/>
          <w:szCs w:val="30"/>
        </w:rPr>
        <w:t>IT</w:t>
      </w:r>
      <w:r>
        <w:rPr>
          <w:rFonts w:hint="eastAsia" w:ascii="仿宋" w:hAnsi="仿宋" w:eastAsia="仿宋" w:cs="仿宋"/>
          <w:sz w:val="30"/>
          <w:szCs w:val="30"/>
        </w:rPr>
        <w:t>应用系统的选型；财务共享中心的核心工作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（四）智能化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财务共享服务中心的运营管理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（五）财务共享服务中心如何提升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智能化背景下财务共享服务未来发展趋势；自动化、智能化在财务共享服务中心的应用；财务共享服务典型案例分析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（六）新技术推动下的智能共享模式的应用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基于财务云的财务共享服务实施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一站式商旅服务与报账平台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B2B模式下的财务共享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智能共享及核算流程再造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平台化思维、外包与众包模式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图形识别等技术在财务转型中的应用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基于共享的智能报告模式及应用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（七）RPA在财务共享中心的应用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RPA在财务共享中心的应用与价值；RPA与财务管理变革；RPA的选择与实施；RPA应用流程示例；案例分享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财务共享服务中心如何发挥司库的部分职能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资金管理集中化、财务公司与司库管理的关系；财务共享服务中心如何发挥司库的部分职能；司库在企业集团财务管理中的角色定位；司库运行流程与体系建设；如何在现有信息化基础上建设企业司库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（九）区块链与财务共享中心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“区块链+会计”的发展与前景展望；</w:t>
      </w:r>
      <w:r>
        <w:rPr>
          <w:rFonts w:ascii="仿宋" w:hAnsi="仿宋" w:eastAsia="仿宋" w:cs="仿宋"/>
          <w:sz w:val="30"/>
          <w:szCs w:val="30"/>
        </w:rPr>
        <w:t>从业财融合到财务-业务-信息一体化；区块链技术应用；</w:t>
      </w:r>
      <w:r>
        <w:rPr>
          <w:rFonts w:hint="eastAsia" w:ascii="仿宋" w:hAnsi="仿宋" w:eastAsia="仿宋" w:cs="仿宋"/>
          <w:sz w:val="30"/>
          <w:szCs w:val="30"/>
        </w:rPr>
        <w:t>区块链在财务共享中心的应用；</w:t>
      </w:r>
      <w:r>
        <w:rPr>
          <w:rFonts w:ascii="仿宋" w:hAnsi="仿宋" w:eastAsia="仿宋" w:cs="仿宋"/>
          <w:sz w:val="30"/>
          <w:szCs w:val="30"/>
        </w:rPr>
        <w:t>从区块链看未来财务发展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（十）如何应对专票电子化变革；电子会计档案的政策与实践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（十一）实务专家面对面答题解惑</w:t>
      </w: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四、师资力量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政府机关、学院、企业界等具有深厚理论功底和丰富实践经验的专家和教授组成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收费标准：每期次培训费均为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sz w:val="30"/>
          <w:szCs w:val="30"/>
        </w:rPr>
        <w:t>00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。住宿和用餐统一安排，费用自理；交通费用自理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六、培训证书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培训班学习期满，完成教学计划规定的全部课程，由中国总会计师协会颁发《培训结业证书》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七、其他 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研讨培训将根据情况安排企业现场参观交流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培训期间，会务组将周密细致地做好各项防护，妥善安排各项配套措施，并向参会嘉宾赠送一次性口罩。请各企事业单位放心组织参加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八、联系方式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联系人：崔老师</w:t>
      </w:r>
      <w:r>
        <w:rPr>
          <w:rFonts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电话／传真：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</w:rPr>
        <w:t>63381767／63381780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微信：cfocui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"mailto:cfo@cmcfo.cn"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</w:rPr>
        <w:t>cfo</w:t>
      </w:r>
      <w:r>
        <w:rPr>
          <w:rStyle w:val="4"/>
          <w:rFonts w:ascii="仿宋" w:hAnsi="仿宋" w:eastAsia="仿宋" w:cs="仿宋"/>
          <w:sz w:val="30"/>
          <w:szCs w:val="30"/>
        </w:rPr>
        <w:t>@</w:t>
      </w:r>
      <w:r>
        <w:rPr>
          <w:rStyle w:val="4"/>
          <w:rFonts w:hint="eastAsia" w:ascii="仿宋" w:hAnsi="仿宋" w:eastAsia="仿宋" w:cs="仿宋"/>
          <w:sz w:val="30"/>
          <w:szCs w:val="30"/>
        </w:rPr>
        <w:t>cmcfo</w:t>
      </w:r>
      <w:r>
        <w:rPr>
          <w:rStyle w:val="4"/>
          <w:rFonts w:ascii="仿宋" w:hAnsi="仿宋" w:eastAsia="仿宋" w:cs="仿宋"/>
          <w:sz w:val="30"/>
          <w:szCs w:val="30"/>
        </w:rPr>
        <w:t>.c</w:t>
      </w:r>
      <w:r>
        <w:rPr>
          <w:rStyle w:val="4"/>
          <w:rFonts w:hint="eastAsia" w:ascii="仿宋" w:hAnsi="仿宋" w:eastAsia="仿宋" w:cs="仿宋"/>
          <w:sz w:val="30"/>
          <w:szCs w:val="30"/>
        </w:rPr>
        <w:t>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PingFang SC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A92"/>
    <w:multiLevelType w:val="multilevel"/>
    <w:tmpl w:val="4F355A92"/>
    <w:lvl w:ilvl="0" w:tentative="0">
      <w:start w:val="2"/>
      <w:numFmt w:val="japaneseCounting"/>
      <w:lvlText w:val="%1、"/>
      <w:lvlJc w:val="left"/>
      <w:pPr>
        <w:ind w:left="294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34" w:hanging="480"/>
      </w:pPr>
    </w:lvl>
    <w:lvl w:ilvl="2" w:tentative="0">
      <w:start w:val="1"/>
      <w:numFmt w:val="lowerRoman"/>
      <w:lvlText w:val="%3."/>
      <w:lvlJc w:val="right"/>
      <w:pPr>
        <w:ind w:left="1014" w:hanging="480"/>
      </w:pPr>
    </w:lvl>
    <w:lvl w:ilvl="3" w:tentative="0">
      <w:start w:val="1"/>
      <w:numFmt w:val="decimal"/>
      <w:lvlText w:val="%4."/>
      <w:lvlJc w:val="left"/>
      <w:pPr>
        <w:ind w:left="1494" w:hanging="480"/>
      </w:pPr>
    </w:lvl>
    <w:lvl w:ilvl="4" w:tentative="0">
      <w:start w:val="1"/>
      <w:numFmt w:val="lowerLetter"/>
      <w:lvlText w:val="%5)"/>
      <w:lvlJc w:val="left"/>
      <w:pPr>
        <w:ind w:left="1974" w:hanging="480"/>
      </w:pPr>
    </w:lvl>
    <w:lvl w:ilvl="5" w:tentative="0">
      <w:start w:val="1"/>
      <w:numFmt w:val="lowerRoman"/>
      <w:lvlText w:val="%6."/>
      <w:lvlJc w:val="right"/>
      <w:pPr>
        <w:ind w:left="2454" w:hanging="480"/>
      </w:pPr>
    </w:lvl>
    <w:lvl w:ilvl="6" w:tentative="0">
      <w:start w:val="1"/>
      <w:numFmt w:val="decimal"/>
      <w:lvlText w:val="%7."/>
      <w:lvlJc w:val="left"/>
      <w:pPr>
        <w:ind w:left="2934" w:hanging="480"/>
      </w:pPr>
    </w:lvl>
    <w:lvl w:ilvl="7" w:tentative="0">
      <w:start w:val="1"/>
      <w:numFmt w:val="lowerLetter"/>
      <w:lvlText w:val="%8)"/>
      <w:lvlJc w:val="left"/>
      <w:pPr>
        <w:ind w:left="3414" w:hanging="480"/>
      </w:pPr>
    </w:lvl>
    <w:lvl w:ilvl="8" w:tentative="0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6194D"/>
    <w:rsid w:val="4FD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paragraph" w:styleId="5">
    <w:name w:val="List Paragraph"/>
    <w:basedOn w:val="1"/>
    <w:uiPriority w:val="99"/>
    <w:pPr>
      <w:widowControl w:val="0"/>
      <w:ind w:firstLine="420" w:firstLineChars="200"/>
      <w:jc w:val="both"/>
    </w:pPr>
    <w:rPr>
      <w:kern w:val="2"/>
      <w:sz w:val="21"/>
      <w:szCs w:val="22"/>
    </w:rPr>
  </w:style>
  <w:style w:type="paragraph" w:customStyle="1" w:styleId="6">
    <w:name w:val="p1"/>
    <w:basedOn w:val="1"/>
    <w:qFormat/>
    <w:uiPriority w:val="0"/>
    <w:rPr>
      <w:rFonts w:ascii=".PingFang SC" w:hAnsi=".PingFang SC" w:eastAsia=".PingFang SC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2020-09-03T00:47:00Z</dcterms:created>
  <dc:creator>桑立强</dc:creator>
  <cp:lastModifiedBy>桑立强</cp:lastModifiedBy>
  <dcterms:modified xsi:type="dcterms:W3CDTF">2020-09-03T00:47:42Z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