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附件1：</w:t>
      </w:r>
    </w:p>
    <w:p>
      <w:pPr>
        <w:widowControl/>
        <w:spacing w:line="400" w:lineRule="exac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widowControl/>
        <w:spacing w:line="400" w:lineRule="exact"/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-9"/>
          <w:kern w:val="0"/>
          <w:sz w:val="32"/>
          <w:szCs w:val="32"/>
          <w:lang w:val="zh-CN" w:eastAsia="zh-CN" w:bidi="zh-CN"/>
        </w:rPr>
        <w:t>医院最新政府会计准则与内部控制落地实施培训班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  <w:highlight w:val="none"/>
        </w:rPr>
        <w:t>工作方案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主管主办单位：中国总会计师协会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b w:val="0"/>
          <w:bCs/>
          <w:color w:val="000000"/>
          <w:spacing w:val="-2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委托承办单位：北京华夏星源国际文化传播有限公司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培训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时间</w:t>
      </w:r>
      <w:r>
        <w:rPr>
          <w:rFonts w:hint="eastAsia" w:ascii="仿宋" w:hAnsi="仿宋" w:eastAsia="仿宋" w:cs="仿宋"/>
          <w:b/>
          <w:sz w:val="30"/>
          <w:szCs w:val="30"/>
        </w:rPr>
        <w:t>安排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时间：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 xml:space="preserve">9月10-13日（9号报到）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地点：广西 ·北海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培训专题安排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0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（一）最新政策更新与权威解读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政府会计基本准则、具体准则深度解读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政府会计准则制度解释文件解析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政府财务报告编制办法与操作指南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医院执行&lt;政府会计制度——行政事业单位会计科目和报表&gt;的补充规定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医院执行&lt;政府会计制度——行政事业单位会计科目和报表&gt;的衔接规定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行政事业单位内部控制规范性建设进展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行政事业单位内部控制指导意见在公立医院中的运用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行政事业单位内部控制报告管理制度文件解读</w:t>
      </w:r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00000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（二）公立医院政府会计制度落地与实施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政府会计标准体系构建进展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政府会计制度和医院会计制度新旧衔接注意事项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政府会计制度财务会计重点业务分析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政府会计制度预算会计重点业务分析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政府会计制度在公立医院中的特殊业务和事项的处理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财务会计与预算会计差异分析与校验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公立医院年终结账业务注意事项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公立医院财务会计、预算会计报表运用与分析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事业单位成本核算基本指引在公立医院中的运用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  <w:t>（三）公立医院内部控制体系设计要点与实施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公立医院内部控制的特殊性分析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公立医院内部控制框架与要素设计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公立医院内部控制执行过程中的问题与对策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公立医院内部控制实施的路线图设计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公立医院内部控制手册的编制与维护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公立医院内部控制评价与审计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优化公立医院内部控制流程、梳理风险矩阵和关键控制点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建立和完善公立医院内部控制核心制度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案例学习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-334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、课程适合对象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各省、市卫生厅（局）主管财会、审计的负责人或业务骨干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全国各医院分管财务副院长、总会计师、总审计师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全国各医院财务处、计财处、审计处等相关部门负责人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79"/>
          <w:tab w:val="left" w:pos="12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840" w:leftChars="200" w:right="0" w:rightChars="0" w:hanging="420" w:firstLineChars="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bidi="zh-CN"/>
        </w:rPr>
        <w:t>医学类高校财务、会计专业骨干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firstLine="0" w:firstLineChars="0"/>
        <w:textAlignment w:val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、授课师资团队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国家会计学院相关教授、医学类高校财务、会计专业骨干师财政部政府会计、行政事业单位内部控制、管理会计政策制定专家、国家卫生计生委、中医药管理局财务司局相关政策制定专家，高校长期从事医药行业财会研究的专家、咨询机构从事相关研究的专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right="-334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、收费标准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1、每人收费2900元（含培训费、场地费、结业证书等费用）；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2、食宿统一安排，费用自理；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 w:eastAsia="zh-CN" w:bidi="zh-CN"/>
        </w:rPr>
        <w:t>3、往返交通等费用自理。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right="-334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、结业证书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培训学习期满后，统一颁发中国总会计师协会《培训结业证书》。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44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报名程序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kern w:val="28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"http://www.cacfo.com"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www.cacfo.com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和华夏财金网。</w:t>
      </w:r>
    </w:p>
    <w:p>
      <w:pPr>
        <w:widowControl/>
        <w:spacing w:line="5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shd w:val="clear" w:color="auto" w:fill="FFFFFF"/>
        </w:rPr>
        <w:t>报名电话：010-85913279  传真：010-85913278</w:t>
      </w:r>
    </w:p>
    <w:p>
      <w:pPr>
        <w:widowControl/>
        <w:spacing w:line="50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报名咨询：中国总会计师协会培训部  桑立强</w:t>
      </w:r>
    </w:p>
    <w:p>
      <w:pPr>
        <w:widowControl/>
        <w:spacing w:line="500" w:lineRule="exact"/>
        <w:ind w:firstLine="600" w:firstLineChars="200"/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监督电话：010-88191832、88191866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671B2B"/>
    <w:multiLevelType w:val="singleLevel"/>
    <w:tmpl w:val="08671B2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E4695"/>
    <w:rsid w:val="24A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right"/>
    </w:pPr>
    <w:rPr>
      <w:sz w:val="24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列出段落1"/>
    <w:basedOn w:val="8"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8">
    <w:name w:val="Header1"/>
    <w:basedOn w:val="9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  <w:spacing w:line="240" w:lineRule="auto"/>
    </w:pPr>
  </w:style>
  <w:style w:type="paragraph" w:customStyle="1" w:styleId="9">
    <w:name w:val="Footer1"/>
    <w:basedOn w:val="3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0">
    <w:name w:val="abstract"/>
    <w:basedOn w:val="8"/>
    <w:qFormat/>
    <w:uiPriority w:val="99"/>
    <w:pPr>
      <w:widowControl/>
    </w:pPr>
    <w:rPr>
      <w:rFonts w:ascii="宋体" w:hAnsi="宋体" w:cs="宋体"/>
      <w:sz w:val="24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2020-08-26T00:29:00Z</dcterms:created>
  <dc:creator>桑立强</dc:creator>
  <cp:lastModifiedBy>桑立强</cp:lastModifiedBy>
  <dcterms:modified xsi:type="dcterms:W3CDTF">2020-08-26T00:30:39Z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