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napToGrid/>
        <w:spacing w:line="380" w:lineRule="exac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附件2：</w:t>
      </w:r>
    </w:p>
    <w:p>
      <w:pPr>
        <w:keepNext w:val="0"/>
        <w:keepLines w:val="0"/>
        <w:pageBreakBefore w:val="0"/>
        <w:kinsoku/>
        <w:wordWrap w:val="0"/>
        <w:overflowPunct/>
        <w:topLinePunct w:val="0"/>
        <w:autoSpaceDE/>
        <w:autoSpaceDN/>
        <w:bidi w:val="0"/>
        <w:adjustRightInd/>
        <w:snapToGrid w:val="0"/>
        <w:spacing w:before="220" w:after="220" w:line="500" w:lineRule="exact"/>
        <w:ind w:right="640"/>
        <w:jc w:val="center"/>
        <w:textAlignment w:val="auto"/>
        <w:rPr>
          <w:rFonts w:hint="eastAsia" w:ascii="宋体" w:hAnsi="宋体" w:eastAsia="宋体" w:cs="宋体"/>
          <w:b/>
          <w:color w:val="000000"/>
          <w:spacing w:val="-20"/>
          <w:kern w:val="0"/>
          <w:sz w:val="32"/>
          <w:szCs w:val="32"/>
          <w:highlight w:val="none"/>
        </w:rPr>
      </w:pPr>
      <w:r>
        <w:rPr>
          <w:rFonts w:hint="eastAsia" w:ascii="宋体" w:hAnsi="宋体" w:eastAsia="宋体" w:cs="宋体"/>
          <w:b/>
          <w:color w:val="000000"/>
          <w:spacing w:val="-20"/>
          <w:kern w:val="0"/>
          <w:sz w:val="32"/>
          <w:szCs w:val="32"/>
          <w:highlight w:val="none"/>
        </w:rPr>
        <w:t>新时代财务管理人员实务操作与素质提升系列培训班</w:t>
      </w:r>
    </w:p>
    <w:p>
      <w:pPr>
        <w:keepNext w:val="0"/>
        <w:keepLines w:val="0"/>
        <w:pageBreakBefore w:val="0"/>
        <w:kinsoku/>
        <w:wordWrap w:val="0"/>
        <w:overflowPunct/>
        <w:topLinePunct w:val="0"/>
        <w:autoSpaceDE/>
        <w:autoSpaceDN/>
        <w:bidi w:val="0"/>
        <w:adjustRightInd/>
        <w:snapToGrid w:val="0"/>
        <w:spacing w:before="220" w:after="220" w:line="500" w:lineRule="exact"/>
        <w:ind w:right="640" w:firstLine="3656" w:firstLineChars="1300"/>
        <w:jc w:val="both"/>
        <w:textAlignment w:val="auto"/>
        <w:rPr>
          <w:rFonts w:hint="eastAsia" w:ascii="宋体" w:hAnsi="宋体" w:eastAsia="宋体" w:cs="宋体"/>
          <w:b/>
          <w:color w:val="000000"/>
          <w:spacing w:val="-20"/>
          <w:kern w:val="0"/>
          <w:sz w:val="32"/>
          <w:szCs w:val="32"/>
          <w:highlight w:val="none"/>
        </w:rPr>
      </w:pPr>
      <w:r>
        <w:rPr>
          <w:rFonts w:hint="eastAsia" w:ascii="宋体" w:hAnsi="宋体" w:eastAsia="宋体" w:cs="宋体"/>
          <w:b/>
          <w:color w:val="000000"/>
          <w:spacing w:val="-20"/>
          <w:kern w:val="0"/>
          <w:sz w:val="32"/>
          <w:szCs w:val="32"/>
          <w:highlight w:val="none"/>
        </w:rPr>
        <w:t>专题介绍</w:t>
      </w:r>
    </w:p>
    <w:p>
      <w:pPr>
        <w:keepNext w:val="0"/>
        <w:keepLines w:val="0"/>
        <w:pageBreakBefore w:val="0"/>
        <w:widowControl/>
        <w:kinsoku/>
        <w:wordWrap/>
        <w:overflowPunct/>
        <w:topLinePunct w:val="0"/>
        <w:autoSpaceDE/>
        <w:autoSpaceDN/>
        <w:bidi w:val="0"/>
        <w:adjustRightInd/>
        <w:snapToGrid/>
        <w:spacing w:before="313" w:beforeLines="100" w:after="120" w:line="380" w:lineRule="exact"/>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rPr>
        <w:t>专题一：成本分析与管理决策</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
          <w:spacing w:val="8"/>
          <w:sz w:val="28"/>
          <w:szCs w:val="28"/>
          <w:highlight w:val="none"/>
          <w:lang w:eastAsia="zh-CN"/>
        </w:rPr>
      </w:pPr>
      <w:r>
        <w:rPr>
          <w:rFonts w:hint="eastAsia" w:ascii="宋体" w:hAnsi="宋体" w:eastAsia="宋体" w:cs="宋体"/>
          <w:b/>
          <w:spacing w:val="8"/>
          <w:sz w:val="28"/>
          <w:szCs w:val="28"/>
          <w:highlight w:val="none"/>
          <w:lang w:eastAsia="zh-CN"/>
        </w:rPr>
        <w:t>专题介绍：</w:t>
      </w:r>
    </w:p>
    <w:p>
      <w:pPr>
        <w:keepNext w:val="0"/>
        <w:keepLines w:val="0"/>
        <w:pageBreakBefore w:val="0"/>
        <w:widowControl/>
        <w:kinsoku/>
        <w:wordWrap/>
        <w:overflowPunct/>
        <w:topLinePunct w:val="0"/>
        <w:autoSpaceDE/>
        <w:autoSpaceDN/>
        <w:bidi w:val="0"/>
        <w:adjustRightInd/>
        <w:snapToGrid/>
        <w:spacing w:before="120" w:after="120" w:line="400" w:lineRule="exact"/>
        <w:ind w:firstLine="592" w:firstLineChars="200"/>
        <w:jc w:val="left"/>
        <w:textAlignment w:val="auto"/>
        <w:rPr>
          <w:rFonts w:hint="default" w:ascii="宋体" w:hAnsi="宋体" w:eastAsia="宋体" w:cs="宋体"/>
          <w:bCs/>
          <w:spacing w:val="8"/>
          <w:kern w:val="1"/>
          <w:sz w:val="28"/>
          <w:szCs w:val="28"/>
          <w:highlight w:val="none"/>
          <w:lang w:val="en-US" w:eastAsia="zh-CN"/>
        </w:rPr>
      </w:pPr>
      <w:r>
        <w:rPr>
          <w:rFonts w:hint="eastAsia" w:ascii="宋体" w:hAnsi="宋体" w:eastAsia="宋体" w:cs="宋体"/>
          <w:bCs/>
          <w:spacing w:val="8"/>
          <w:kern w:val="1"/>
          <w:sz w:val="28"/>
          <w:szCs w:val="28"/>
          <w:highlight w:val="none"/>
          <w:lang w:val="en-US" w:eastAsia="zh-CN"/>
        </w:rPr>
        <w:t>企业要适应瞬息万变的外部市场环境，取得持续性的竞争优势，企业就必须把重点放到制订竞争战略上来，而传统的成本管理却经常把眼光局限在单纯降低成本上。传统的成本会计不能如实反馈真实情况，会导致决策错误。因为传统成本会计的衡量标准不正确，就会导致决策不正确，进而导致公司的行动不正确，最终导致公司赔钱。制约理论的创始人高德拉特博士曾提到：“告诉我你如何考核我，我就告诉你我将如何行动。如果你的考核不理性的话，那么我的行为很疯狂也没有什么好奇怪的。从常识出发，本课程引入了以产出为导向的制约理论和有效产出会计（TOC/TA），将有助于学员站在更高的立足点上于把握现代管理会计思想内核，启迪管理决策的新思路。</w:t>
      </w:r>
    </w:p>
    <w:p>
      <w:pPr>
        <w:keepNext w:val="0"/>
        <w:keepLines w:val="0"/>
        <w:pageBreakBefore w:val="0"/>
        <w:widowControl/>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
          <w:spacing w:val="8"/>
          <w:kern w:val="1"/>
          <w:sz w:val="28"/>
          <w:szCs w:val="28"/>
          <w:highlight w:val="none"/>
        </w:rPr>
      </w:pPr>
      <w:r>
        <w:rPr>
          <w:rFonts w:hint="eastAsia" w:ascii="宋体" w:hAnsi="宋体" w:eastAsia="宋体" w:cs="宋体"/>
          <w:b/>
          <w:spacing w:val="8"/>
          <w:sz w:val="28"/>
          <w:szCs w:val="28"/>
          <w:highlight w:val="none"/>
          <w:lang w:eastAsia="zh-CN"/>
        </w:rPr>
        <w:t>（二）</w:t>
      </w:r>
      <w:r>
        <w:rPr>
          <w:rFonts w:hint="eastAsia" w:ascii="宋体" w:hAnsi="宋体" w:eastAsia="宋体" w:cs="宋体"/>
          <w:b/>
          <w:spacing w:val="8"/>
          <w:sz w:val="28"/>
          <w:szCs w:val="28"/>
          <w:highlight w:val="none"/>
        </w:rPr>
        <w:t>课程内容：</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 xml:space="preserve">战略成本管理概况及案例应用 </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业财融合思维下的管理会计架构设计</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 xml:space="preserve">管理会计体系的构成 </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供应链成本管理</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约束理论与有效产出会计</w:t>
      </w:r>
    </w:p>
    <w:p>
      <w:pPr>
        <w:keepNext w:val="0"/>
        <w:keepLines w:val="0"/>
        <w:pageBreakBefore w:val="0"/>
        <w:widowControl/>
        <w:kinsoku/>
        <w:wordWrap/>
        <w:overflowPunct/>
        <w:topLinePunct w:val="0"/>
        <w:autoSpaceDE/>
        <w:autoSpaceDN/>
        <w:bidi w:val="0"/>
        <w:adjustRightInd/>
        <w:snapToGrid/>
        <w:spacing w:before="313" w:beforeLines="100" w:after="160" w:line="360" w:lineRule="exact"/>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rPr>
        <w:t>专题二：财务报表分析与会计准则最新变化及所得税汇算清缴</w:t>
      </w:r>
    </w:p>
    <w:p>
      <w:pPr>
        <w:keepNext w:val="0"/>
        <w:keepLines w:val="0"/>
        <w:pageBreakBefore w:val="0"/>
        <w:widowControl/>
        <w:kinsoku/>
        <w:wordWrap/>
        <w:overflowPunct/>
        <w:topLinePunct w:val="0"/>
        <w:autoSpaceDE/>
        <w:autoSpaceDN/>
        <w:bidi w:val="0"/>
        <w:adjustRightInd/>
        <w:snapToGrid/>
        <w:spacing w:before="160" w:after="160" w:line="360" w:lineRule="exact"/>
        <w:ind w:firstLine="297" w:firstLineChars="100"/>
        <w:jc w:val="left"/>
        <w:textAlignment w:val="auto"/>
        <w:rPr>
          <w:rFonts w:hint="eastAsia" w:ascii="宋体" w:hAnsi="宋体" w:eastAsia="宋体" w:cs="宋体"/>
          <w:b w:val="0"/>
          <w:bCs/>
          <w:spacing w:val="8"/>
          <w:sz w:val="28"/>
          <w:szCs w:val="28"/>
          <w:highlight w:val="none"/>
        </w:rPr>
      </w:pPr>
      <w:r>
        <w:rPr>
          <w:rFonts w:hint="eastAsia" w:ascii="宋体" w:hAnsi="宋体" w:eastAsia="宋体" w:cs="宋体"/>
          <w:b/>
          <w:spacing w:val="8"/>
          <w:sz w:val="28"/>
          <w:szCs w:val="28"/>
          <w:highlight w:val="none"/>
          <w:lang w:eastAsia="zh-CN"/>
        </w:rPr>
        <w:t>（一）专题介绍：</w:t>
      </w:r>
    </w:p>
    <w:p>
      <w:pPr>
        <w:keepNext w:val="0"/>
        <w:keepLines w:val="0"/>
        <w:pageBreakBefore w:val="0"/>
        <w:widowControl/>
        <w:kinsoku/>
        <w:wordWrap/>
        <w:overflowPunct/>
        <w:topLinePunct w:val="0"/>
        <w:autoSpaceDE/>
        <w:autoSpaceDN/>
        <w:bidi w:val="0"/>
        <w:adjustRightInd/>
        <w:snapToGrid/>
        <w:spacing w:before="120" w:after="120" w:line="360" w:lineRule="exact"/>
        <w:ind w:firstLine="592" w:firstLineChars="200"/>
        <w:jc w:val="left"/>
        <w:textAlignment w:val="auto"/>
        <w:rPr>
          <w:rFonts w:hint="eastAsia" w:ascii="宋体" w:hAnsi="宋体" w:eastAsia="宋体" w:cs="宋体"/>
          <w:b w:val="0"/>
          <w:bCs/>
          <w:spacing w:val="8"/>
          <w:sz w:val="28"/>
          <w:szCs w:val="28"/>
          <w:highlight w:val="none"/>
        </w:rPr>
      </w:pPr>
      <w:r>
        <w:rPr>
          <w:rFonts w:hint="eastAsia" w:ascii="宋体" w:hAnsi="宋体" w:eastAsia="宋体" w:cs="宋体"/>
          <w:b w:val="0"/>
          <w:bCs/>
          <w:spacing w:val="8"/>
          <w:sz w:val="28"/>
          <w:szCs w:val="28"/>
          <w:highlight w:val="none"/>
        </w:rPr>
        <w:t>随着我国企业会计准则与国际财务报告准则的持续趋同，企业会计准则和财务报表格式都发生了重大变化。2017-201</w:t>
      </w:r>
      <w:r>
        <w:rPr>
          <w:rFonts w:hint="eastAsia" w:ascii="宋体" w:hAnsi="宋体" w:eastAsia="宋体" w:cs="宋体"/>
          <w:b w:val="0"/>
          <w:bCs/>
          <w:spacing w:val="8"/>
          <w:sz w:val="28"/>
          <w:szCs w:val="28"/>
          <w:highlight w:val="none"/>
          <w:lang w:val="en-US" w:eastAsia="zh-CN"/>
        </w:rPr>
        <w:t>9</w:t>
      </w:r>
      <w:r>
        <w:rPr>
          <w:rFonts w:hint="eastAsia" w:ascii="宋体" w:hAnsi="宋体" w:eastAsia="宋体" w:cs="宋体"/>
          <w:b w:val="0"/>
          <w:bCs/>
          <w:spacing w:val="8"/>
          <w:sz w:val="28"/>
          <w:szCs w:val="28"/>
          <w:highlight w:val="none"/>
        </w:rPr>
        <w:t>年财政部发布了新修订的收入准则、金融工具系列准则、政府补助准则、持有待售的非流动资产、处置组和终止经营准则的应用指南，为这些新修订的准则如何实务操作提供了明确的指引</w:t>
      </w:r>
      <w:r>
        <w:rPr>
          <w:rFonts w:hint="eastAsia" w:ascii="宋体" w:hAnsi="宋体" w:eastAsia="宋体" w:cs="宋体"/>
          <w:b w:val="0"/>
          <w:bCs/>
          <w:spacing w:val="8"/>
          <w:sz w:val="28"/>
          <w:szCs w:val="28"/>
          <w:highlight w:val="none"/>
          <w:lang w:eastAsia="zh-CN"/>
        </w:rPr>
        <w:t>，</w:t>
      </w:r>
      <w:r>
        <w:rPr>
          <w:rFonts w:hint="eastAsia" w:ascii="宋体" w:hAnsi="宋体" w:eastAsia="宋体" w:cs="宋体"/>
          <w:b w:val="0"/>
          <w:bCs/>
          <w:spacing w:val="8"/>
          <w:sz w:val="28"/>
          <w:szCs w:val="28"/>
          <w:highlight w:val="none"/>
        </w:rPr>
        <w:t>将新修订和新发布的企业会计准则的应用指南和案例进行详细解读，并结合具体实施情况分析新准则的实施影响和实务操作，帮助财务人员深入理解企业会计准则的新变化，从而更好地做出会计处理和职业判断。</w:t>
      </w:r>
    </w:p>
    <w:p>
      <w:pPr>
        <w:keepNext w:val="0"/>
        <w:keepLines w:val="0"/>
        <w:pageBreakBefore w:val="0"/>
        <w:widowControl/>
        <w:kinsoku/>
        <w:wordWrap/>
        <w:overflowPunct/>
        <w:topLinePunct w:val="0"/>
        <w:autoSpaceDE/>
        <w:autoSpaceDN/>
        <w:bidi w:val="0"/>
        <w:adjustRightInd/>
        <w:snapToGrid/>
        <w:spacing w:before="120" w:after="120" w:line="360" w:lineRule="exact"/>
        <w:ind w:firstLine="592" w:firstLineChars="200"/>
        <w:jc w:val="left"/>
        <w:textAlignment w:val="auto"/>
        <w:rPr>
          <w:rFonts w:hint="eastAsia" w:ascii="宋体" w:hAnsi="宋体" w:eastAsia="宋体" w:cs="宋体"/>
          <w:b w:val="0"/>
          <w:bCs/>
          <w:spacing w:val="8"/>
          <w:sz w:val="28"/>
          <w:szCs w:val="28"/>
          <w:highlight w:val="none"/>
        </w:rPr>
      </w:pPr>
      <w:r>
        <w:rPr>
          <w:rFonts w:hint="eastAsia" w:ascii="宋体" w:hAnsi="宋体" w:eastAsia="宋体" w:cs="宋体"/>
          <w:b w:val="0"/>
          <w:bCs/>
          <w:spacing w:val="8"/>
          <w:sz w:val="28"/>
          <w:szCs w:val="28"/>
          <w:highlight w:val="none"/>
        </w:rPr>
        <w:t>汇算清缴是指纳税人在纳税年度终了后规定时期内，依照税收法律、法规、规章及其他有关企业所得税的规定，自行计算全年应纳税所得额和应纳所得税额，根据月度或季度预缴的所得税数额，确定该年度应补或者应退税额，并填写年度企业所得税纳税申报表，向主管税务机关办理年度企业所得税纳税申报、提供税务机关要求提供的有关资料、结清全年企业所得税税款的行为。</w:t>
      </w:r>
    </w:p>
    <w:p>
      <w:pPr>
        <w:keepNext w:val="0"/>
        <w:keepLines w:val="0"/>
        <w:pageBreakBefore w:val="0"/>
        <w:widowControl/>
        <w:kinsoku/>
        <w:wordWrap/>
        <w:overflowPunct/>
        <w:topLinePunct w:val="0"/>
        <w:autoSpaceDE/>
        <w:autoSpaceDN/>
        <w:bidi w:val="0"/>
        <w:adjustRightInd/>
        <w:snapToGrid/>
        <w:spacing w:before="120" w:after="120" w:line="360" w:lineRule="exact"/>
        <w:ind w:firstLine="592" w:firstLineChars="200"/>
        <w:jc w:val="left"/>
        <w:textAlignment w:val="auto"/>
        <w:rPr>
          <w:rFonts w:hint="eastAsia" w:ascii="宋体" w:hAnsi="宋体" w:eastAsia="宋体" w:cs="宋体"/>
          <w:b w:val="0"/>
          <w:bCs/>
          <w:spacing w:val="8"/>
          <w:sz w:val="28"/>
          <w:szCs w:val="28"/>
          <w:highlight w:val="none"/>
        </w:rPr>
      </w:pPr>
      <w:r>
        <w:rPr>
          <w:rFonts w:hint="eastAsia" w:ascii="宋体" w:hAnsi="宋体" w:eastAsia="宋体" w:cs="宋体"/>
          <w:b w:val="0"/>
          <w:bCs/>
          <w:spacing w:val="8"/>
          <w:sz w:val="28"/>
          <w:szCs w:val="28"/>
          <w:highlight w:val="none"/>
        </w:rPr>
        <w:t>报表分析是财务人员必做功课，除了递交给管理层和总部的年度财务报告，还要看不少供应商或经销商的财务报表，分析年度经营情况。但是，做报表分析常常突破不了就数字论数字的局限性，怎样从报表中看出更多的信息和内涵，从中解读企业经营中的问题？本专题就将为财务解读财务报表分析与会计准则的基本思路和分析。</w:t>
      </w:r>
    </w:p>
    <w:p>
      <w:pPr>
        <w:keepNext w:val="0"/>
        <w:keepLines w:val="0"/>
        <w:pageBreakBefore w:val="0"/>
        <w:widowControl/>
        <w:kinsoku/>
        <w:wordWrap/>
        <w:overflowPunct/>
        <w:topLinePunct w:val="0"/>
        <w:autoSpaceDE/>
        <w:autoSpaceDN/>
        <w:bidi w:val="0"/>
        <w:adjustRightInd/>
        <w:snapToGrid/>
        <w:spacing w:before="160" w:after="160" w:line="360" w:lineRule="exact"/>
        <w:ind w:firstLine="297" w:firstLineChars="100"/>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lang w:eastAsia="zh-CN"/>
        </w:rPr>
        <w:t>（二）</w:t>
      </w:r>
      <w:r>
        <w:rPr>
          <w:rFonts w:hint="eastAsia" w:ascii="宋体" w:hAnsi="宋体" w:eastAsia="宋体" w:cs="宋体"/>
          <w:b/>
          <w:spacing w:val="8"/>
          <w:sz w:val="28"/>
          <w:szCs w:val="28"/>
          <w:highlight w:val="none"/>
        </w:rPr>
        <w:t>课程内容：</w:t>
      </w:r>
    </w:p>
    <w:p>
      <w:pPr>
        <w:keepNext w:val="0"/>
        <w:keepLines w:val="0"/>
        <w:pageBreakBefore w:val="0"/>
        <w:widowControl/>
        <w:numPr>
          <w:ilvl w:val="0"/>
          <w:numId w:val="2"/>
        </w:numPr>
        <w:kinsoku/>
        <w:wordWrap/>
        <w:overflowPunct/>
        <w:topLinePunct w:val="0"/>
        <w:autoSpaceDE/>
        <w:autoSpaceDN/>
        <w:bidi w:val="0"/>
        <w:adjustRightInd/>
        <w:snapToGrid/>
        <w:spacing w:before="100" w:after="100" w:line="36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资产负债表分析</w:t>
      </w:r>
    </w:p>
    <w:p>
      <w:pPr>
        <w:keepNext w:val="0"/>
        <w:keepLines w:val="0"/>
        <w:pageBreakBefore w:val="0"/>
        <w:widowControl/>
        <w:numPr>
          <w:ilvl w:val="0"/>
          <w:numId w:val="2"/>
        </w:numPr>
        <w:kinsoku/>
        <w:wordWrap/>
        <w:overflowPunct/>
        <w:topLinePunct w:val="0"/>
        <w:autoSpaceDE/>
        <w:autoSpaceDN/>
        <w:bidi w:val="0"/>
        <w:adjustRightInd/>
        <w:snapToGrid/>
        <w:spacing w:before="100" w:after="100" w:line="36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利润表分析</w:t>
      </w:r>
    </w:p>
    <w:p>
      <w:pPr>
        <w:keepNext w:val="0"/>
        <w:keepLines w:val="0"/>
        <w:pageBreakBefore w:val="0"/>
        <w:widowControl/>
        <w:numPr>
          <w:ilvl w:val="0"/>
          <w:numId w:val="2"/>
        </w:numPr>
        <w:kinsoku/>
        <w:wordWrap/>
        <w:overflowPunct/>
        <w:topLinePunct w:val="0"/>
        <w:autoSpaceDE/>
        <w:autoSpaceDN/>
        <w:bidi w:val="0"/>
        <w:adjustRightInd/>
        <w:snapToGrid/>
        <w:spacing w:before="100" w:after="100" w:line="36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 xml:space="preserve">现金流量表分析                            </w:t>
      </w:r>
    </w:p>
    <w:p>
      <w:pPr>
        <w:keepNext w:val="0"/>
        <w:keepLines w:val="0"/>
        <w:pageBreakBefore w:val="0"/>
        <w:widowControl/>
        <w:numPr>
          <w:ilvl w:val="0"/>
          <w:numId w:val="2"/>
        </w:numPr>
        <w:kinsoku/>
        <w:wordWrap/>
        <w:overflowPunct/>
        <w:topLinePunct w:val="0"/>
        <w:autoSpaceDE/>
        <w:autoSpaceDN/>
        <w:bidi w:val="0"/>
        <w:adjustRightInd/>
        <w:snapToGrid/>
        <w:spacing w:before="100" w:after="100" w:line="36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财务报告撰写</w:t>
      </w:r>
    </w:p>
    <w:p>
      <w:pPr>
        <w:keepNext w:val="0"/>
        <w:keepLines w:val="0"/>
        <w:pageBreakBefore w:val="0"/>
        <w:widowControl/>
        <w:numPr>
          <w:ilvl w:val="0"/>
          <w:numId w:val="2"/>
        </w:numPr>
        <w:kinsoku/>
        <w:wordWrap/>
        <w:overflowPunct/>
        <w:topLinePunct w:val="0"/>
        <w:autoSpaceDE/>
        <w:autoSpaceDN/>
        <w:bidi w:val="0"/>
        <w:adjustRightInd/>
        <w:snapToGrid/>
        <w:spacing w:before="100" w:after="100" w:line="36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最新会计准则政策解读与案例分析</w:t>
      </w:r>
    </w:p>
    <w:p>
      <w:pPr>
        <w:keepNext w:val="0"/>
        <w:keepLines w:val="0"/>
        <w:pageBreakBefore w:val="0"/>
        <w:widowControl/>
        <w:numPr>
          <w:ilvl w:val="0"/>
          <w:numId w:val="2"/>
        </w:numPr>
        <w:kinsoku/>
        <w:wordWrap/>
        <w:overflowPunct/>
        <w:topLinePunct w:val="0"/>
        <w:autoSpaceDE/>
        <w:autoSpaceDN/>
        <w:bidi w:val="0"/>
        <w:adjustRightInd/>
        <w:snapToGrid/>
        <w:spacing w:before="100" w:after="100" w:line="36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最新会计准则改革与财务工作的启发</w:t>
      </w:r>
    </w:p>
    <w:p>
      <w:pPr>
        <w:keepNext w:val="0"/>
        <w:keepLines w:val="0"/>
        <w:pageBreakBefore w:val="0"/>
        <w:widowControl/>
        <w:numPr>
          <w:ilvl w:val="0"/>
          <w:numId w:val="2"/>
        </w:numPr>
        <w:kinsoku/>
        <w:wordWrap/>
        <w:overflowPunct/>
        <w:topLinePunct w:val="0"/>
        <w:autoSpaceDE/>
        <w:autoSpaceDN/>
        <w:bidi w:val="0"/>
        <w:adjustRightInd/>
        <w:snapToGrid/>
        <w:spacing w:before="100" w:after="100" w:line="36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税务检查应对及争议解决策略</w:t>
      </w:r>
    </w:p>
    <w:p>
      <w:pPr>
        <w:keepNext w:val="0"/>
        <w:keepLines w:val="0"/>
        <w:pageBreakBefore w:val="0"/>
        <w:widowControl/>
        <w:numPr>
          <w:ilvl w:val="0"/>
          <w:numId w:val="2"/>
        </w:numPr>
        <w:kinsoku/>
        <w:wordWrap/>
        <w:overflowPunct/>
        <w:topLinePunct w:val="0"/>
        <w:autoSpaceDE/>
        <w:autoSpaceDN/>
        <w:bidi w:val="0"/>
        <w:adjustRightInd/>
        <w:snapToGrid/>
        <w:spacing w:before="100" w:after="100" w:line="36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企业所得税汇算清缴新政策解读</w:t>
      </w:r>
    </w:p>
    <w:p>
      <w:pPr>
        <w:keepNext w:val="0"/>
        <w:keepLines w:val="0"/>
        <w:pageBreakBefore w:val="0"/>
        <w:widowControl/>
        <w:kinsoku/>
        <w:wordWrap/>
        <w:overflowPunct/>
        <w:topLinePunct w:val="0"/>
        <w:autoSpaceDE/>
        <w:autoSpaceDN/>
        <w:bidi w:val="0"/>
        <w:adjustRightInd/>
        <w:snapToGrid/>
        <w:spacing w:before="313" w:beforeLines="100" w:after="120" w:line="380" w:lineRule="exact"/>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rPr>
        <w:t>专题三：企业预算控制与绩效评价</w:t>
      </w:r>
    </w:p>
    <w:p>
      <w:pPr>
        <w:keepNext w:val="0"/>
        <w:keepLines w:val="0"/>
        <w:pageBreakBefore w:val="0"/>
        <w:widowControl/>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
          <w:spacing w:val="8"/>
          <w:sz w:val="28"/>
          <w:szCs w:val="28"/>
          <w:highlight w:val="none"/>
          <w:lang w:eastAsia="zh-CN"/>
        </w:rPr>
      </w:pPr>
      <w:r>
        <w:rPr>
          <w:rFonts w:hint="eastAsia" w:ascii="宋体" w:hAnsi="宋体" w:eastAsia="宋体" w:cs="宋体"/>
          <w:b/>
          <w:spacing w:val="8"/>
          <w:sz w:val="28"/>
          <w:szCs w:val="28"/>
          <w:highlight w:val="none"/>
          <w:lang w:eastAsia="zh-CN"/>
        </w:rPr>
        <w:t>（一）专题介绍</w:t>
      </w:r>
    </w:p>
    <w:p>
      <w:pPr>
        <w:keepNext w:val="0"/>
        <w:keepLines w:val="0"/>
        <w:pageBreakBefore w:val="0"/>
        <w:widowControl/>
        <w:kinsoku/>
        <w:wordWrap/>
        <w:overflowPunct/>
        <w:topLinePunct w:val="0"/>
        <w:autoSpaceDE/>
        <w:autoSpaceDN/>
        <w:bidi w:val="0"/>
        <w:adjustRightInd/>
        <w:snapToGrid/>
        <w:spacing w:before="120" w:after="120" w:line="400" w:lineRule="exact"/>
        <w:ind w:firstLine="592" w:firstLineChars="200"/>
        <w:jc w:val="left"/>
        <w:textAlignment w:val="auto"/>
        <w:rPr>
          <w:rFonts w:hint="eastAsia" w:ascii="宋体" w:hAnsi="宋体" w:eastAsia="宋体" w:cs="宋体"/>
          <w:b w:val="0"/>
          <w:bCs/>
          <w:spacing w:val="8"/>
          <w:sz w:val="28"/>
          <w:szCs w:val="28"/>
          <w:highlight w:val="none"/>
          <w:lang w:eastAsia="zh-CN"/>
        </w:rPr>
      </w:pPr>
      <w:r>
        <w:rPr>
          <w:rFonts w:hint="eastAsia" w:ascii="宋体" w:hAnsi="宋体" w:eastAsia="宋体" w:cs="宋体"/>
          <w:b w:val="0"/>
          <w:bCs/>
          <w:spacing w:val="8"/>
          <w:sz w:val="28"/>
          <w:szCs w:val="28"/>
          <w:highlight w:val="none"/>
          <w:lang w:eastAsia="zh-CN"/>
        </w:rPr>
        <w:t>财务部门总说预算管控难，制作难，协调难，落实难，全面预算管理真这么难吗？</w:t>
      </w:r>
    </w:p>
    <w:p>
      <w:pPr>
        <w:keepNext w:val="0"/>
        <w:keepLines w:val="0"/>
        <w:pageBreakBefore w:val="0"/>
        <w:widowControl/>
        <w:kinsoku/>
        <w:wordWrap/>
        <w:overflowPunct/>
        <w:topLinePunct w:val="0"/>
        <w:autoSpaceDE/>
        <w:autoSpaceDN/>
        <w:bidi w:val="0"/>
        <w:adjustRightInd/>
        <w:snapToGrid/>
        <w:spacing w:before="120" w:after="120" w:line="400" w:lineRule="exact"/>
        <w:ind w:firstLine="592" w:firstLineChars="200"/>
        <w:jc w:val="left"/>
        <w:textAlignment w:val="auto"/>
        <w:rPr>
          <w:rFonts w:hint="eastAsia" w:ascii="宋体" w:hAnsi="宋体" w:eastAsia="宋体" w:cs="宋体"/>
          <w:b w:val="0"/>
          <w:bCs/>
          <w:spacing w:val="8"/>
          <w:sz w:val="28"/>
          <w:szCs w:val="28"/>
          <w:highlight w:val="none"/>
          <w:lang w:eastAsia="zh-CN"/>
        </w:rPr>
      </w:pPr>
      <w:r>
        <w:rPr>
          <w:rFonts w:hint="eastAsia" w:ascii="宋体" w:hAnsi="宋体" w:eastAsia="宋体" w:cs="宋体"/>
          <w:b w:val="0"/>
          <w:bCs/>
          <w:spacing w:val="8"/>
          <w:sz w:val="28"/>
          <w:szCs w:val="28"/>
          <w:highlight w:val="none"/>
          <w:lang w:eastAsia="zh-CN"/>
        </w:rPr>
        <w:t>◆ 业务部门不愿参与预算，又抱怨财务不懂业务，只会卡费用，难道预算就是用来讨价还价的吗？</w:t>
      </w:r>
    </w:p>
    <w:p>
      <w:pPr>
        <w:keepNext w:val="0"/>
        <w:keepLines w:val="0"/>
        <w:pageBreakBefore w:val="0"/>
        <w:widowControl/>
        <w:kinsoku/>
        <w:wordWrap/>
        <w:overflowPunct/>
        <w:topLinePunct w:val="0"/>
        <w:autoSpaceDE/>
        <w:autoSpaceDN/>
        <w:bidi w:val="0"/>
        <w:adjustRightInd/>
        <w:snapToGrid/>
        <w:spacing w:before="120" w:after="120" w:line="400" w:lineRule="exact"/>
        <w:ind w:firstLine="592" w:firstLineChars="200"/>
        <w:jc w:val="left"/>
        <w:textAlignment w:val="auto"/>
        <w:rPr>
          <w:rFonts w:hint="eastAsia" w:ascii="宋体" w:hAnsi="宋体" w:eastAsia="宋体" w:cs="宋体"/>
          <w:b w:val="0"/>
          <w:bCs/>
          <w:spacing w:val="8"/>
          <w:sz w:val="28"/>
          <w:szCs w:val="28"/>
          <w:highlight w:val="none"/>
          <w:lang w:eastAsia="zh-CN"/>
        </w:rPr>
      </w:pPr>
      <w:r>
        <w:rPr>
          <w:rFonts w:hint="eastAsia" w:ascii="宋体" w:hAnsi="宋体" w:eastAsia="宋体" w:cs="宋体"/>
          <w:b w:val="0"/>
          <w:bCs/>
          <w:spacing w:val="8"/>
          <w:sz w:val="28"/>
          <w:szCs w:val="28"/>
          <w:highlight w:val="none"/>
          <w:lang w:eastAsia="zh-CN"/>
        </w:rPr>
        <w:t>◆ 每年预算和实际差异很大，老板不满意，员工不乐意，预算执行与实际差距到底是如何产生的？是预算编制的问题，还是实际执行有了偏差？到底如何调整？</w:t>
      </w:r>
    </w:p>
    <w:p>
      <w:pPr>
        <w:keepNext w:val="0"/>
        <w:keepLines w:val="0"/>
        <w:pageBreakBefore w:val="0"/>
        <w:widowControl/>
        <w:kinsoku/>
        <w:wordWrap/>
        <w:overflowPunct/>
        <w:topLinePunct w:val="0"/>
        <w:autoSpaceDE/>
        <w:autoSpaceDN/>
        <w:bidi w:val="0"/>
        <w:adjustRightInd/>
        <w:snapToGrid/>
        <w:spacing w:before="120" w:after="120" w:line="400" w:lineRule="exact"/>
        <w:ind w:firstLine="592" w:firstLineChars="200"/>
        <w:jc w:val="left"/>
        <w:textAlignment w:val="auto"/>
        <w:rPr>
          <w:rFonts w:hint="eastAsia" w:ascii="宋体" w:hAnsi="宋体" w:eastAsia="宋体" w:cs="宋体"/>
          <w:b w:val="0"/>
          <w:bCs/>
          <w:spacing w:val="8"/>
          <w:sz w:val="28"/>
          <w:szCs w:val="28"/>
          <w:highlight w:val="none"/>
          <w:lang w:eastAsia="zh-CN"/>
        </w:rPr>
      </w:pPr>
      <w:r>
        <w:rPr>
          <w:rFonts w:hint="eastAsia" w:ascii="宋体" w:hAnsi="宋体" w:eastAsia="宋体" w:cs="宋体"/>
          <w:b w:val="0"/>
          <w:bCs/>
          <w:spacing w:val="8"/>
          <w:sz w:val="28"/>
          <w:szCs w:val="28"/>
          <w:highlight w:val="none"/>
          <w:lang w:eastAsia="zh-CN"/>
        </w:rPr>
        <w:t>◆ 预算编制麻烦，不如直接压缩费用，预算就是为了减少开支吗？</w:t>
      </w:r>
    </w:p>
    <w:p>
      <w:pPr>
        <w:keepNext w:val="0"/>
        <w:keepLines w:val="0"/>
        <w:pageBreakBefore w:val="0"/>
        <w:widowControl/>
        <w:kinsoku/>
        <w:wordWrap/>
        <w:overflowPunct/>
        <w:topLinePunct w:val="0"/>
        <w:autoSpaceDE/>
        <w:autoSpaceDN/>
        <w:bidi w:val="0"/>
        <w:adjustRightInd/>
        <w:snapToGrid/>
        <w:spacing w:before="120" w:after="120" w:line="400" w:lineRule="exact"/>
        <w:ind w:firstLine="592" w:firstLineChars="200"/>
        <w:jc w:val="left"/>
        <w:textAlignment w:val="auto"/>
        <w:rPr>
          <w:rFonts w:hint="eastAsia" w:ascii="宋体" w:hAnsi="宋体" w:eastAsia="宋体" w:cs="宋体"/>
          <w:b w:val="0"/>
          <w:bCs/>
          <w:spacing w:val="8"/>
          <w:sz w:val="28"/>
          <w:szCs w:val="28"/>
          <w:highlight w:val="none"/>
          <w:lang w:eastAsia="zh-CN"/>
        </w:rPr>
      </w:pPr>
      <w:r>
        <w:rPr>
          <w:rFonts w:hint="eastAsia" w:ascii="宋体" w:hAnsi="宋体" w:eastAsia="宋体" w:cs="宋体"/>
          <w:b w:val="0"/>
          <w:bCs/>
          <w:spacing w:val="8"/>
          <w:sz w:val="28"/>
          <w:szCs w:val="28"/>
          <w:highlight w:val="none"/>
          <w:lang w:eastAsia="zh-CN"/>
        </w:rPr>
        <w:t>本课程将通过大量的案例分析与实例演练，为学员展示一个系统、科学的预算管理体系，帮助学员了解如何编制合理的预算，如何通过全面预算管理，促进企业部门与部门之间的相互交流与沟通；如何明确并量化公司的经营目标、制定并不断调整经营计划，用预算规范企业的管理控制。真正把财务预算变成企业全体员工认同、为企业成功提供保证的全面预算管理。</w:t>
      </w:r>
    </w:p>
    <w:p>
      <w:pPr>
        <w:keepNext w:val="0"/>
        <w:keepLines w:val="0"/>
        <w:pageBreakBefore w:val="0"/>
        <w:widowControl/>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lang w:eastAsia="zh-CN"/>
        </w:rPr>
        <w:t>（二）</w:t>
      </w:r>
      <w:r>
        <w:rPr>
          <w:rFonts w:hint="eastAsia" w:ascii="宋体" w:hAnsi="宋体" w:eastAsia="宋体" w:cs="宋体"/>
          <w:b/>
          <w:spacing w:val="8"/>
          <w:sz w:val="28"/>
          <w:szCs w:val="28"/>
          <w:highlight w:val="none"/>
        </w:rPr>
        <w:t>课程内容：</w:t>
      </w:r>
    </w:p>
    <w:p>
      <w:pPr>
        <w:keepNext w:val="0"/>
        <w:keepLines w:val="0"/>
        <w:pageBreakBefore w:val="0"/>
        <w:widowControl/>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
          <w:spacing w:val="8"/>
          <w:kern w:val="1"/>
          <w:sz w:val="28"/>
          <w:szCs w:val="28"/>
          <w:highlight w:val="none"/>
        </w:rPr>
      </w:pPr>
      <w:r>
        <w:rPr>
          <w:rFonts w:hint="eastAsia" w:ascii="宋体" w:hAnsi="宋体" w:eastAsia="宋体" w:cs="宋体"/>
          <w:b/>
          <w:spacing w:val="8"/>
          <w:kern w:val="1"/>
          <w:sz w:val="28"/>
          <w:szCs w:val="28"/>
          <w:highlight w:val="none"/>
          <w:lang w:val="en-US" w:eastAsia="zh-CN"/>
        </w:rPr>
        <w:t>1、</w:t>
      </w:r>
      <w:r>
        <w:rPr>
          <w:rFonts w:hint="eastAsia" w:ascii="宋体" w:hAnsi="宋体" w:eastAsia="宋体" w:cs="宋体"/>
          <w:b/>
          <w:spacing w:val="8"/>
          <w:kern w:val="1"/>
          <w:sz w:val="28"/>
          <w:szCs w:val="28"/>
          <w:highlight w:val="none"/>
        </w:rPr>
        <w:t>预算管理在企业管理中的定位</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预算管理思想在企业中的发展和运用</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预算与战略、运营、绩效之间的关系</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预算管理中的主体及职责定位</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预算管理对象的性质及其分类</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预算管理流程及制度体系建设</w:t>
      </w:r>
    </w:p>
    <w:p>
      <w:pPr>
        <w:keepNext w:val="0"/>
        <w:keepLines w:val="0"/>
        <w:pageBreakBefore w:val="0"/>
        <w:widowControl/>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
          <w:spacing w:val="8"/>
          <w:kern w:val="1"/>
          <w:sz w:val="28"/>
          <w:szCs w:val="28"/>
          <w:highlight w:val="none"/>
        </w:rPr>
      </w:pPr>
      <w:r>
        <w:rPr>
          <w:rFonts w:hint="eastAsia" w:ascii="宋体" w:hAnsi="宋体" w:eastAsia="宋体" w:cs="宋体"/>
          <w:b/>
          <w:spacing w:val="8"/>
          <w:kern w:val="1"/>
          <w:sz w:val="28"/>
          <w:szCs w:val="28"/>
          <w:highlight w:val="none"/>
          <w:lang w:val="en-US" w:eastAsia="zh-CN"/>
        </w:rPr>
        <w:t>2、</w:t>
      </w:r>
      <w:r>
        <w:rPr>
          <w:rFonts w:hint="eastAsia" w:ascii="宋体" w:hAnsi="宋体" w:eastAsia="宋体" w:cs="宋体"/>
          <w:b/>
          <w:spacing w:val="8"/>
          <w:kern w:val="1"/>
          <w:sz w:val="28"/>
          <w:szCs w:val="28"/>
          <w:highlight w:val="none"/>
        </w:rPr>
        <w:t>预算编制过程中的控制</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预算目标确定方法与实务</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预算指标体系的确定及优劣</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预算目标的有效分解策略</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如何避免分解过程中的讨价还价困境</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不同类型企业预算编制要点</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实务案例分享及经验借鉴</w:t>
      </w:r>
    </w:p>
    <w:p>
      <w:pPr>
        <w:keepNext w:val="0"/>
        <w:keepLines w:val="0"/>
        <w:pageBreakBefore w:val="0"/>
        <w:widowControl/>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
          <w:spacing w:val="8"/>
          <w:kern w:val="1"/>
          <w:sz w:val="28"/>
          <w:szCs w:val="28"/>
          <w:highlight w:val="none"/>
        </w:rPr>
      </w:pPr>
      <w:r>
        <w:rPr>
          <w:rFonts w:hint="eastAsia" w:ascii="宋体" w:hAnsi="宋体" w:eastAsia="宋体" w:cs="宋体"/>
          <w:b/>
          <w:spacing w:val="8"/>
          <w:kern w:val="1"/>
          <w:sz w:val="28"/>
          <w:szCs w:val="28"/>
          <w:highlight w:val="none"/>
          <w:lang w:val="en-US" w:eastAsia="zh-CN"/>
        </w:rPr>
        <w:t>3、</w:t>
      </w:r>
      <w:r>
        <w:rPr>
          <w:rFonts w:hint="eastAsia" w:ascii="宋体" w:hAnsi="宋体" w:eastAsia="宋体" w:cs="宋体"/>
          <w:b/>
          <w:spacing w:val="8"/>
          <w:kern w:val="1"/>
          <w:sz w:val="28"/>
          <w:szCs w:val="28"/>
          <w:highlight w:val="none"/>
        </w:rPr>
        <w:t>预算执行分析与调整</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预算执行中的按期分解模式</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预算执行中的偏差管理</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预算目标动态监控技巧</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预算调整制度的建立与优化</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实务案例分享及经验借鉴</w:t>
      </w:r>
    </w:p>
    <w:p>
      <w:pPr>
        <w:keepNext w:val="0"/>
        <w:keepLines w:val="0"/>
        <w:pageBreakBefore w:val="0"/>
        <w:widowControl/>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
          <w:spacing w:val="8"/>
          <w:kern w:val="1"/>
          <w:sz w:val="28"/>
          <w:szCs w:val="28"/>
          <w:highlight w:val="none"/>
        </w:rPr>
      </w:pPr>
      <w:r>
        <w:rPr>
          <w:rFonts w:hint="eastAsia" w:ascii="宋体" w:hAnsi="宋体" w:eastAsia="宋体" w:cs="宋体"/>
          <w:b/>
          <w:spacing w:val="8"/>
          <w:kern w:val="1"/>
          <w:sz w:val="28"/>
          <w:szCs w:val="28"/>
          <w:highlight w:val="none"/>
          <w:lang w:val="en-US" w:eastAsia="zh-CN"/>
        </w:rPr>
        <w:t>4、</w:t>
      </w:r>
      <w:r>
        <w:rPr>
          <w:rFonts w:hint="eastAsia" w:ascii="宋体" w:hAnsi="宋体" w:eastAsia="宋体" w:cs="宋体"/>
          <w:b/>
          <w:spacing w:val="8"/>
          <w:kern w:val="1"/>
          <w:sz w:val="28"/>
          <w:szCs w:val="28"/>
          <w:highlight w:val="none"/>
        </w:rPr>
        <w:t>绩效管理与绩效评价</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绩效管理的基本概念</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绩效管理的参与部门</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平衡计分卡—化战略为行动</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战略地图——描述企业如何创造价值</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
          <w:spacing w:val="8"/>
          <w:sz w:val="28"/>
          <w:szCs w:val="28"/>
          <w:highlight w:val="none"/>
        </w:rPr>
      </w:pPr>
      <w:r>
        <w:rPr>
          <w:rFonts w:hint="eastAsia" w:ascii="宋体" w:hAnsi="宋体" w:eastAsia="宋体" w:cs="宋体"/>
          <w:bCs/>
          <w:spacing w:val="8"/>
          <w:kern w:val="1"/>
          <w:sz w:val="28"/>
          <w:szCs w:val="28"/>
          <w:highlight w:val="none"/>
        </w:rPr>
        <w:t>企业绩效评价、企业绩效评价、职能部门绩效评价、预算考核</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80" w:lineRule="exact"/>
        <w:ind w:left="420" w:leftChars="0"/>
        <w:jc w:val="left"/>
        <w:textAlignment w:val="auto"/>
        <w:rPr>
          <w:rFonts w:hint="eastAsia" w:ascii="宋体" w:hAnsi="宋体" w:eastAsia="宋体" w:cs="宋体"/>
          <w:b/>
          <w:spacing w:val="8"/>
          <w:sz w:val="28"/>
          <w:szCs w:val="28"/>
          <w:highlight w:val="none"/>
        </w:rPr>
      </w:pPr>
    </w:p>
    <w:p>
      <w:pPr>
        <w:keepNext w:val="0"/>
        <w:keepLines w:val="0"/>
        <w:pageBreakBefore w:val="0"/>
        <w:widowControl/>
        <w:kinsoku/>
        <w:wordWrap/>
        <w:overflowPunct/>
        <w:topLinePunct w:val="0"/>
        <w:autoSpaceDE/>
        <w:autoSpaceDN/>
        <w:bidi w:val="0"/>
        <w:adjustRightInd/>
        <w:snapToGrid/>
        <w:spacing w:before="313" w:beforeLines="100" w:after="140" w:line="380" w:lineRule="exact"/>
        <w:jc w:val="left"/>
        <w:textAlignment w:val="auto"/>
        <w:rPr>
          <w:rFonts w:hint="eastAsia" w:ascii="宋体" w:hAnsi="宋体" w:eastAsia="宋体" w:cs="宋体"/>
          <w:b/>
          <w:spacing w:val="8"/>
          <w:kern w:val="1"/>
          <w:sz w:val="28"/>
          <w:szCs w:val="28"/>
          <w:highlight w:val="none"/>
        </w:rPr>
      </w:pPr>
      <w:r>
        <w:rPr>
          <w:rFonts w:hint="eastAsia" w:ascii="宋体" w:hAnsi="宋体" w:eastAsia="宋体" w:cs="宋体"/>
          <w:b/>
          <w:spacing w:val="8"/>
          <w:sz w:val="28"/>
          <w:szCs w:val="28"/>
          <w:highlight w:val="none"/>
        </w:rPr>
        <w:t>专题四：企业内部控制与资产管理</w:t>
      </w:r>
    </w:p>
    <w:p>
      <w:pPr>
        <w:keepNext w:val="0"/>
        <w:keepLines w:val="0"/>
        <w:pageBreakBefore w:val="0"/>
        <w:widowControl/>
        <w:numPr>
          <w:ilvl w:val="0"/>
          <w:numId w:val="3"/>
        </w:numPr>
        <w:kinsoku/>
        <w:wordWrap/>
        <w:overflowPunct/>
        <w:topLinePunct w:val="0"/>
        <w:autoSpaceDE/>
        <w:autoSpaceDN/>
        <w:bidi w:val="0"/>
        <w:adjustRightInd/>
        <w:snapToGrid/>
        <w:spacing w:before="140" w:after="140" w:line="380" w:lineRule="exact"/>
        <w:ind w:firstLine="297" w:firstLineChars="100"/>
        <w:jc w:val="left"/>
        <w:textAlignment w:val="auto"/>
        <w:rPr>
          <w:rFonts w:hint="eastAsia" w:ascii="宋体" w:hAnsi="宋体" w:eastAsia="宋体" w:cs="宋体"/>
          <w:b/>
          <w:spacing w:val="8"/>
          <w:sz w:val="28"/>
          <w:szCs w:val="28"/>
          <w:highlight w:val="none"/>
          <w:lang w:eastAsia="zh-CN"/>
        </w:rPr>
      </w:pPr>
      <w:r>
        <w:rPr>
          <w:rFonts w:hint="eastAsia" w:ascii="宋体" w:hAnsi="宋体" w:eastAsia="宋体" w:cs="宋体"/>
          <w:b/>
          <w:spacing w:val="8"/>
          <w:sz w:val="28"/>
          <w:szCs w:val="28"/>
          <w:highlight w:val="none"/>
          <w:lang w:eastAsia="zh-CN"/>
        </w:rPr>
        <w:t>专题介绍：</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400" w:lineRule="exact"/>
        <w:ind w:firstLine="592" w:firstLineChars="200"/>
        <w:jc w:val="left"/>
        <w:textAlignment w:val="auto"/>
        <w:rPr>
          <w:rFonts w:hint="eastAsia" w:ascii="宋体" w:hAnsi="宋体" w:eastAsia="宋体" w:cs="宋体"/>
          <w:bCs/>
          <w:spacing w:val="8"/>
          <w:kern w:val="2"/>
          <w:sz w:val="28"/>
          <w:szCs w:val="28"/>
          <w:highlight w:val="none"/>
          <w:lang w:val="en-US" w:eastAsia="zh-CN" w:bidi="ar-SA"/>
        </w:rPr>
      </w:pPr>
      <w:r>
        <w:rPr>
          <w:rFonts w:hint="eastAsia" w:ascii="宋体" w:hAnsi="宋体" w:eastAsia="宋体" w:cs="宋体"/>
          <w:bCs/>
          <w:spacing w:val="8"/>
          <w:kern w:val="2"/>
          <w:sz w:val="28"/>
          <w:szCs w:val="28"/>
          <w:highlight w:val="none"/>
          <w:lang w:val="en-US" w:eastAsia="zh-CN" w:bidi="ar-SA"/>
        </w:rPr>
        <w:t>内部控制对于企业经营管理的重要性日益凸显；它涉及到企业的方方面面，涉及企业运营的各个层次，包括各项业务、业务流程中的各个环节和企业中的每一个成员。到目前，国内企业的内部控制工作面临三种情况和难点：一是已经全面实施《企业内部控制规范》及其配套指引的企业，下一步的内部控制工作如何走向深入和提升优化；二是还没有全面实施的企业，特别是民营企业，如何吸取其他企业实施中积累的经验和教训，从而高起点、高水准开展内部控制工作；三是拟上市公司如何完善内部控制，特别是财务报告相关的内部控制体系，以满足监管要求，消除上市障碍。</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400" w:lineRule="exact"/>
        <w:ind w:firstLine="592" w:firstLineChars="200"/>
        <w:jc w:val="left"/>
        <w:textAlignment w:val="auto"/>
        <w:rPr>
          <w:rFonts w:hint="default" w:ascii="宋体" w:hAnsi="宋体" w:eastAsia="宋体" w:cs="宋体"/>
          <w:bCs/>
          <w:spacing w:val="8"/>
          <w:kern w:val="2"/>
          <w:sz w:val="28"/>
          <w:szCs w:val="28"/>
          <w:highlight w:val="none"/>
          <w:lang w:val="en-US" w:eastAsia="zh-CN" w:bidi="ar-SA"/>
        </w:rPr>
      </w:pPr>
      <w:r>
        <w:rPr>
          <w:rFonts w:hint="default" w:ascii="宋体" w:hAnsi="宋体" w:eastAsia="宋体" w:cs="宋体"/>
          <w:bCs/>
          <w:spacing w:val="8"/>
          <w:kern w:val="2"/>
          <w:sz w:val="28"/>
          <w:szCs w:val="28"/>
          <w:highlight w:val="none"/>
          <w:lang w:val="en-US" w:eastAsia="zh-CN" w:bidi="ar-SA"/>
        </w:rPr>
        <w:t>企业资产管理是面向资产密集型企业的信息化，制造业信息化，企业信息化解决方案的总称。它以提高资产可利用率、降低企业运行维护成本为目标，以优化企业维修资源为核心，通过信息化手段，合理安排维修计划及相关资源与活动。通过提高设备可利用率得以增加收益，通过优化安排维修资源得以降低成本，从而提高企业的经济效益和企业的市场竞争力。</w:t>
      </w:r>
    </w:p>
    <w:p>
      <w:pPr>
        <w:keepNext w:val="0"/>
        <w:keepLines w:val="0"/>
        <w:pageBreakBefore w:val="0"/>
        <w:widowControl/>
        <w:kinsoku/>
        <w:wordWrap/>
        <w:overflowPunct/>
        <w:topLinePunct w:val="0"/>
        <w:autoSpaceDE/>
        <w:autoSpaceDN/>
        <w:bidi w:val="0"/>
        <w:adjustRightInd/>
        <w:snapToGrid/>
        <w:spacing w:before="140" w:after="140" w:line="400" w:lineRule="exact"/>
        <w:ind w:firstLine="297" w:firstLineChars="100"/>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lang w:eastAsia="zh-CN"/>
        </w:rPr>
        <w:t>（二）</w:t>
      </w:r>
      <w:r>
        <w:rPr>
          <w:rFonts w:hint="eastAsia" w:ascii="宋体" w:hAnsi="宋体" w:eastAsia="宋体" w:cs="宋体"/>
          <w:b/>
          <w:spacing w:val="8"/>
          <w:sz w:val="28"/>
          <w:szCs w:val="28"/>
          <w:highlight w:val="none"/>
        </w:rPr>
        <w:t>课程内容：</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我国内控存在的常见问题解析</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企业内控建设流程与方法</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内控的实战技能</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内控评价与审计</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内控信息化建设</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 xml:space="preserve">风险投资与企业融资                                               </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产权制度与企业法人治理结构</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国有资产管理政策与实务</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国有资产管理政策体系</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国有资产配置管理、使用管理、处置管理、清查核实、产权登记、评估管理、监督管理、报告管理讲解</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b/>
          <w:spacing w:val="8"/>
          <w:sz w:val="28"/>
          <w:szCs w:val="28"/>
          <w:highlight w:val="none"/>
        </w:rPr>
      </w:pPr>
      <w:r>
        <w:rPr>
          <w:rFonts w:hint="eastAsia" w:ascii="宋体" w:hAnsi="宋体" w:eastAsia="宋体" w:cs="宋体"/>
          <w:kern w:val="0"/>
          <w:sz w:val="28"/>
          <w:szCs w:val="28"/>
          <w:highlight w:val="none"/>
        </w:rPr>
        <w:t>国有资产信息化案例</w:t>
      </w:r>
    </w:p>
    <w:p>
      <w:pPr>
        <w:keepNext w:val="0"/>
        <w:keepLines w:val="0"/>
        <w:pageBreakBefore w:val="0"/>
        <w:widowControl/>
        <w:kinsoku/>
        <w:wordWrap/>
        <w:overflowPunct/>
        <w:topLinePunct w:val="0"/>
        <w:autoSpaceDE/>
        <w:autoSpaceDN/>
        <w:bidi w:val="0"/>
        <w:adjustRightInd/>
        <w:snapToGrid/>
        <w:spacing w:before="313" w:beforeLines="100" w:after="140" w:line="400" w:lineRule="exact"/>
        <w:jc w:val="left"/>
        <w:textAlignment w:val="auto"/>
        <w:rPr>
          <w:rFonts w:hint="eastAsia" w:ascii="宋体" w:hAnsi="宋体" w:eastAsia="宋体" w:cs="宋体"/>
          <w:b/>
          <w:spacing w:val="8"/>
          <w:sz w:val="28"/>
          <w:szCs w:val="28"/>
          <w:highlight w:val="none"/>
        </w:rPr>
      </w:pPr>
    </w:p>
    <w:p>
      <w:pPr>
        <w:keepNext w:val="0"/>
        <w:keepLines w:val="0"/>
        <w:pageBreakBefore w:val="0"/>
        <w:widowControl/>
        <w:kinsoku/>
        <w:wordWrap/>
        <w:overflowPunct/>
        <w:topLinePunct w:val="0"/>
        <w:autoSpaceDE/>
        <w:autoSpaceDN/>
        <w:bidi w:val="0"/>
        <w:adjustRightInd/>
        <w:snapToGrid/>
        <w:spacing w:before="313" w:beforeLines="100" w:after="140" w:line="400" w:lineRule="exact"/>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rPr>
        <w:t>专题五：大数据应用与财务转型</w:t>
      </w:r>
    </w:p>
    <w:p>
      <w:pPr>
        <w:keepNext w:val="0"/>
        <w:keepLines w:val="0"/>
        <w:pageBreakBefore w:val="0"/>
        <w:widowControl/>
        <w:kinsoku/>
        <w:wordWrap/>
        <w:overflowPunct/>
        <w:topLinePunct w:val="0"/>
        <w:autoSpaceDE/>
        <w:autoSpaceDN/>
        <w:bidi w:val="0"/>
        <w:adjustRightInd/>
        <w:snapToGrid/>
        <w:spacing w:before="140" w:after="140" w:line="400" w:lineRule="exact"/>
        <w:ind w:firstLine="297" w:firstLineChars="100"/>
        <w:jc w:val="left"/>
        <w:textAlignment w:val="auto"/>
        <w:rPr>
          <w:rFonts w:hint="eastAsia" w:ascii="宋体" w:hAnsi="宋体" w:eastAsia="宋体" w:cs="宋体"/>
          <w:bCs/>
          <w:spacing w:val="8"/>
          <w:kern w:val="2"/>
          <w:sz w:val="28"/>
          <w:szCs w:val="28"/>
          <w:highlight w:val="none"/>
          <w:lang w:val="en-US" w:eastAsia="zh-CN" w:bidi="ar-SA"/>
        </w:rPr>
      </w:pPr>
      <w:r>
        <w:rPr>
          <w:rFonts w:hint="eastAsia" w:ascii="宋体" w:hAnsi="宋体" w:eastAsia="宋体" w:cs="宋体"/>
          <w:b/>
          <w:spacing w:val="8"/>
          <w:sz w:val="28"/>
          <w:szCs w:val="28"/>
          <w:highlight w:val="none"/>
          <w:lang w:eastAsia="zh-CN"/>
        </w:rPr>
        <w:t>（一）专题介绍</w:t>
      </w:r>
      <w:r>
        <w:rPr>
          <w:rFonts w:hint="eastAsia" w:ascii="宋体" w:hAnsi="宋体" w:eastAsia="宋体" w:cs="宋体"/>
          <w:b/>
          <w:spacing w:val="8"/>
          <w:sz w:val="28"/>
          <w:szCs w:val="28"/>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400" w:lineRule="exact"/>
        <w:ind w:firstLine="592" w:firstLineChars="200"/>
        <w:jc w:val="left"/>
        <w:textAlignment w:val="auto"/>
        <w:rPr>
          <w:rFonts w:hint="default" w:ascii="宋体" w:hAnsi="宋体" w:eastAsia="宋体" w:cs="宋体"/>
          <w:bCs/>
          <w:spacing w:val="8"/>
          <w:kern w:val="2"/>
          <w:sz w:val="28"/>
          <w:szCs w:val="28"/>
          <w:highlight w:val="none"/>
          <w:lang w:val="en-US" w:eastAsia="zh-CN" w:bidi="ar-SA"/>
        </w:rPr>
      </w:pPr>
      <w:r>
        <w:rPr>
          <w:rFonts w:hint="eastAsia" w:ascii="宋体" w:hAnsi="宋体" w:eastAsia="宋体" w:cs="宋体"/>
          <w:bCs/>
          <w:spacing w:val="8"/>
          <w:kern w:val="2"/>
          <w:sz w:val="28"/>
          <w:szCs w:val="28"/>
          <w:highlight w:val="none"/>
          <w:lang w:val="en-US" w:eastAsia="zh-CN" w:bidi="ar-SA"/>
        </w:rPr>
        <w:t>随着信息化和数字化的发展，大数据技术正不断地被引入企业当中，企业管理能力和效率的提升必须实现量化分析与管理，从数据中挖掘价值，通过大数据应用实现企业智能化管理已经成为优秀企业的重要标志。面对企业内部各种数据信息，尤其是财务部门所掌握的大量财务数据，如何利用数据分析技术与工具实现智能化的财务分析与管理，帮助企业提高决策计划及管控能力，将是时下财务人员必须掌握的重要技能之一。</w:t>
      </w:r>
    </w:p>
    <w:p>
      <w:pPr>
        <w:keepNext w:val="0"/>
        <w:keepLines w:val="0"/>
        <w:pageBreakBefore w:val="0"/>
        <w:widowControl/>
        <w:numPr>
          <w:ilvl w:val="0"/>
          <w:numId w:val="0"/>
        </w:numPr>
        <w:kinsoku/>
        <w:wordWrap/>
        <w:overflowPunct/>
        <w:topLinePunct w:val="0"/>
        <w:autoSpaceDE/>
        <w:autoSpaceDN/>
        <w:bidi w:val="0"/>
        <w:adjustRightInd/>
        <w:snapToGrid/>
        <w:spacing w:before="140" w:after="140" w:line="400" w:lineRule="exact"/>
        <w:ind w:firstLine="297" w:firstLineChars="100"/>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lang w:eastAsia="zh-CN"/>
        </w:rPr>
        <w:t>（二）</w:t>
      </w:r>
      <w:r>
        <w:rPr>
          <w:rFonts w:hint="eastAsia" w:ascii="宋体" w:hAnsi="宋体" w:eastAsia="宋体" w:cs="宋体"/>
          <w:b/>
          <w:spacing w:val="8"/>
          <w:sz w:val="28"/>
          <w:szCs w:val="28"/>
          <w:highlight w:val="none"/>
        </w:rPr>
        <w:t>课程内容：</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大数据对企业财务的影响</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大数据与企业财务风险预警</w:t>
      </w:r>
    </w:p>
    <w:p>
      <w:pPr>
        <w:keepNext w:val="0"/>
        <w:keepLines w:val="0"/>
        <w:pageBreakBefore w:val="0"/>
        <w:widowControl/>
        <w:numPr>
          <w:ilvl w:val="0"/>
          <w:numId w:val="4"/>
        </w:numPr>
        <w:kinsoku/>
        <w:wordWrap/>
        <w:overflowPunct/>
        <w:topLinePunct w:val="0"/>
        <w:autoSpaceDE/>
        <w:autoSpaceDN/>
        <w:bidi w:val="0"/>
        <w:adjustRightInd/>
        <w:snapToGrid/>
        <w:spacing w:before="140" w:after="140" w:line="40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财务转型的起点</w:t>
      </w:r>
    </w:p>
    <w:p>
      <w:pPr>
        <w:keepNext w:val="0"/>
        <w:keepLines w:val="0"/>
        <w:pageBreakBefore w:val="0"/>
        <w:widowControl/>
        <w:kinsoku/>
        <w:wordWrap/>
        <w:overflowPunct/>
        <w:topLinePunct w:val="0"/>
        <w:autoSpaceDE/>
        <w:autoSpaceDN/>
        <w:bidi w:val="0"/>
        <w:adjustRightInd/>
        <w:snapToGrid/>
        <w:spacing w:before="313" w:beforeLines="100" w:after="140" w:line="380" w:lineRule="exact"/>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rPr>
        <w:t>专题六：集团财务共享服务中心建设与运营实战技能提升</w:t>
      </w:r>
    </w:p>
    <w:p>
      <w:pPr>
        <w:keepNext w:val="0"/>
        <w:keepLines w:val="0"/>
        <w:pageBreakBefore w:val="0"/>
        <w:widowControl/>
        <w:numPr>
          <w:ilvl w:val="0"/>
          <w:numId w:val="5"/>
        </w:numPr>
        <w:kinsoku/>
        <w:wordWrap/>
        <w:overflowPunct/>
        <w:topLinePunct w:val="0"/>
        <w:autoSpaceDE/>
        <w:autoSpaceDN/>
        <w:bidi w:val="0"/>
        <w:adjustRightInd/>
        <w:snapToGrid/>
        <w:spacing w:before="140" w:after="140" w:line="380" w:lineRule="exact"/>
        <w:ind w:firstLine="297" w:firstLineChars="100"/>
        <w:jc w:val="left"/>
        <w:textAlignment w:val="auto"/>
        <w:rPr>
          <w:rFonts w:hint="eastAsia" w:ascii="宋体" w:hAnsi="宋体" w:eastAsia="宋体" w:cs="宋体"/>
          <w:b/>
          <w:spacing w:val="8"/>
          <w:sz w:val="28"/>
          <w:szCs w:val="28"/>
          <w:highlight w:val="none"/>
          <w:lang w:eastAsia="zh-CN"/>
        </w:rPr>
      </w:pPr>
      <w:r>
        <w:rPr>
          <w:rFonts w:hint="eastAsia" w:ascii="宋体" w:hAnsi="宋体" w:eastAsia="宋体" w:cs="宋体"/>
          <w:b/>
          <w:spacing w:val="8"/>
          <w:sz w:val="28"/>
          <w:szCs w:val="28"/>
          <w:highlight w:val="none"/>
          <w:lang w:eastAsia="zh-CN"/>
        </w:rPr>
        <w:t>专题介绍：</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400" w:lineRule="exact"/>
        <w:ind w:firstLine="592" w:firstLineChars="200"/>
        <w:jc w:val="left"/>
        <w:textAlignment w:val="auto"/>
        <w:rPr>
          <w:rFonts w:hint="default" w:ascii="宋体" w:hAnsi="宋体" w:eastAsia="宋体" w:cs="宋体"/>
          <w:bCs/>
          <w:spacing w:val="8"/>
          <w:kern w:val="2"/>
          <w:sz w:val="28"/>
          <w:szCs w:val="28"/>
          <w:highlight w:val="none"/>
          <w:lang w:val="en-US" w:eastAsia="zh-CN" w:bidi="ar-SA"/>
        </w:rPr>
      </w:pPr>
      <w:r>
        <w:rPr>
          <w:rFonts w:hint="eastAsia" w:ascii="宋体" w:hAnsi="宋体" w:eastAsia="宋体" w:cs="宋体"/>
          <w:bCs/>
          <w:spacing w:val="8"/>
          <w:kern w:val="2"/>
          <w:sz w:val="28"/>
          <w:szCs w:val="28"/>
          <w:highlight w:val="none"/>
          <w:lang w:val="en-US" w:eastAsia="zh-CN" w:bidi="ar-SA"/>
        </w:rPr>
        <w:t>传统的财务会计专注于会计核算，在“有助于财务会计报吉使用者作出经济决策”方面发挥的作用还远远不够。通过建立财务共享服务中心的方式，可以将会计基础核算等低附加值的作业劳动集中起来，基于流程再造和IT系统整合，可以最终提升会计核算业务处理效率。在巩固财务会计基础、加强營控的同时,作为后台服务的财务共享服务中心，可以为战略、经营决策提供重要的信息和分析，以支持更能为公司创适价值的管理会计活动。通过建立财务共享冃験中心，企业不仅提升了会计核算处理的效率，降低了成本，加强了管控。更为重要的是，通过建设财务共享服务中心,企业会程放大量的财务会计人员，让他们从大量低附加值、重复、劳动力 密集型的基础核鼻工作中解脱出来，让他们集中精力去从事所谓的业务型财务和战略型财务，实现财务与业务、战略的一体化，让管理 会计直正落地实施，实现财务为企业増加价值的目标。</w:t>
      </w:r>
    </w:p>
    <w:p>
      <w:pPr>
        <w:keepNext w:val="0"/>
        <w:keepLines w:val="0"/>
        <w:pageBreakBefore w:val="0"/>
        <w:widowControl/>
        <w:numPr>
          <w:ilvl w:val="0"/>
          <w:numId w:val="5"/>
        </w:numPr>
        <w:kinsoku/>
        <w:wordWrap/>
        <w:overflowPunct/>
        <w:topLinePunct w:val="0"/>
        <w:autoSpaceDE/>
        <w:autoSpaceDN/>
        <w:bidi w:val="0"/>
        <w:adjustRightInd/>
        <w:snapToGrid/>
        <w:spacing w:before="140" w:after="140" w:line="380" w:lineRule="exact"/>
        <w:ind w:firstLine="297" w:firstLineChars="100"/>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rPr>
        <w:t>课程内容：</w:t>
      </w:r>
    </w:p>
    <w:p>
      <w:pPr>
        <w:keepNext w:val="0"/>
        <w:keepLines w:val="0"/>
        <w:pageBreakBefore w:val="0"/>
        <w:widowControl/>
        <w:numPr>
          <w:ilvl w:val="0"/>
          <w:numId w:val="2"/>
        </w:numPr>
        <w:kinsoku/>
        <w:wordWrap/>
        <w:overflowPunct/>
        <w:topLinePunct w:val="0"/>
        <w:autoSpaceDE/>
        <w:autoSpaceDN/>
        <w:bidi w:val="0"/>
        <w:adjustRightInd/>
        <w:snapToGrid/>
        <w:spacing w:before="140" w:after="14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财务共享服务中心建设的准备工作</w:t>
      </w:r>
    </w:p>
    <w:p>
      <w:pPr>
        <w:keepNext w:val="0"/>
        <w:keepLines w:val="0"/>
        <w:pageBreakBefore w:val="0"/>
        <w:widowControl/>
        <w:numPr>
          <w:ilvl w:val="0"/>
          <w:numId w:val="2"/>
        </w:numPr>
        <w:kinsoku/>
        <w:wordWrap/>
        <w:overflowPunct/>
        <w:topLinePunct w:val="0"/>
        <w:autoSpaceDE/>
        <w:autoSpaceDN/>
        <w:bidi w:val="0"/>
        <w:adjustRightInd/>
        <w:snapToGrid/>
        <w:spacing w:before="140" w:after="14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财务共享服务中心的方案设计</w:t>
      </w:r>
    </w:p>
    <w:p>
      <w:pPr>
        <w:keepNext w:val="0"/>
        <w:keepLines w:val="0"/>
        <w:pageBreakBefore w:val="0"/>
        <w:widowControl/>
        <w:numPr>
          <w:ilvl w:val="0"/>
          <w:numId w:val="2"/>
        </w:numPr>
        <w:kinsoku/>
        <w:wordWrap/>
        <w:overflowPunct/>
        <w:topLinePunct w:val="0"/>
        <w:autoSpaceDE/>
        <w:autoSpaceDN/>
        <w:bidi w:val="0"/>
        <w:adjustRightInd/>
        <w:snapToGrid/>
        <w:spacing w:before="140" w:after="14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财务共享服务中心建设的项目管理</w:t>
      </w:r>
    </w:p>
    <w:p>
      <w:pPr>
        <w:keepNext w:val="0"/>
        <w:keepLines w:val="0"/>
        <w:pageBreakBefore w:val="0"/>
        <w:widowControl/>
        <w:numPr>
          <w:ilvl w:val="0"/>
          <w:numId w:val="2"/>
        </w:numPr>
        <w:kinsoku/>
        <w:wordWrap/>
        <w:overflowPunct/>
        <w:topLinePunct w:val="0"/>
        <w:autoSpaceDE/>
        <w:autoSpaceDN/>
        <w:bidi w:val="0"/>
        <w:adjustRightInd/>
        <w:snapToGrid/>
        <w:spacing w:before="140" w:after="140" w:line="380" w:lineRule="exact"/>
        <w:ind w:firstLine="0"/>
        <w:jc w:val="left"/>
        <w:textAlignment w:val="auto"/>
        <w:rPr>
          <w:rFonts w:hint="eastAsia" w:ascii="宋体" w:hAnsi="宋体" w:eastAsia="宋体" w:cs="宋体"/>
          <w:bCs/>
          <w:spacing w:val="8"/>
          <w:kern w:val="1"/>
          <w:sz w:val="28"/>
          <w:szCs w:val="28"/>
          <w:highlight w:val="none"/>
        </w:rPr>
      </w:pPr>
      <w:r>
        <w:rPr>
          <w:rFonts w:hint="eastAsia" w:ascii="宋体" w:hAnsi="宋体" w:eastAsia="宋体" w:cs="宋体"/>
          <w:bCs/>
          <w:spacing w:val="8"/>
          <w:kern w:val="1"/>
          <w:sz w:val="28"/>
          <w:szCs w:val="28"/>
          <w:highlight w:val="none"/>
        </w:rPr>
        <w:t>财务共享服务中心增值服务的功能拓展</w:t>
      </w:r>
    </w:p>
    <w:p>
      <w:pPr>
        <w:keepNext w:val="0"/>
        <w:keepLines w:val="0"/>
        <w:pageBreakBefore w:val="0"/>
        <w:widowControl/>
        <w:numPr>
          <w:ilvl w:val="0"/>
          <w:numId w:val="2"/>
        </w:numPr>
        <w:kinsoku/>
        <w:wordWrap/>
        <w:overflowPunct/>
        <w:topLinePunct w:val="0"/>
        <w:autoSpaceDE/>
        <w:autoSpaceDN/>
        <w:bidi w:val="0"/>
        <w:adjustRightInd/>
        <w:snapToGrid/>
        <w:spacing w:before="140" w:after="140" w:line="380" w:lineRule="exact"/>
        <w:ind w:firstLine="0"/>
        <w:jc w:val="left"/>
        <w:textAlignment w:val="auto"/>
        <w:rPr>
          <w:rFonts w:hint="eastAsia" w:ascii="宋体" w:hAnsi="宋体" w:eastAsia="宋体" w:cs="宋体"/>
          <w:b/>
          <w:spacing w:val="8"/>
          <w:sz w:val="28"/>
          <w:szCs w:val="28"/>
          <w:highlight w:val="none"/>
        </w:rPr>
      </w:pPr>
      <w:r>
        <w:rPr>
          <w:rFonts w:hint="eastAsia" w:ascii="宋体" w:hAnsi="宋体" w:eastAsia="宋体" w:cs="宋体"/>
          <w:bCs/>
          <w:spacing w:val="8"/>
          <w:kern w:val="1"/>
          <w:sz w:val="28"/>
          <w:szCs w:val="28"/>
          <w:highlight w:val="none"/>
        </w:rPr>
        <w:t>云计算、大数据、互联网背景下的财务共享服务</w:t>
      </w:r>
    </w:p>
    <w:p>
      <w:pPr>
        <w:keepNext w:val="0"/>
        <w:keepLines w:val="0"/>
        <w:pageBreakBefore w:val="0"/>
        <w:widowControl/>
        <w:kinsoku/>
        <w:wordWrap/>
        <w:overflowPunct/>
        <w:topLinePunct w:val="0"/>
        <w:autoSpaceDE/>
        <w:autoSpaceDN/>
        <w:bidi w:val="0"/>
        <w:adjustRightInd/>
        <w:snapToGrid/>
        <w:spacing w:before="313" w:beforeLines="100" w:after="120" w:line="380" w:lineRule="exact"/>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rPr>
        <w:t>专题七：公司并购与重组</w:t>
      </w:r>
    </w:p>
    <w:p>
      <w:pPr>
        <w:keepNext w:val="0"/>
        <w:keepLines w:val="0"/>
        <w:pageBreakBefore w:val="0"/>
        <w:widowControl/>
        <w:numPr>
          <w:ilvl w:val="0"/>
          <w:numId w:val="6"/>
        </w:numPr>
        <w:kinsoku/>
        <w:wordWrap/>
        <w:overflowPunct/>
        <w:topLinePunct w:val="0"/>
        <w:autoSpaceDE/>
        <w:autoSpaceDN/>
        <w:bidi w:val="0"/>
        <w:adjustRightInd/>
        <w:snapToGrid/>
        <w:spacing w:before="120" w:after="120" w:line="380" w:lineRule="exact"/>
        <w:ind w:left="469" w:leftChars="0" w:firstLine="0" w:firstLineChars="0"/>
        <w:jc w:val="left"/>
        <w:textAlignment w:val="auto"/>
        <w:rPr>
          <w:rFonts w:hint="eastAsia" w:ascii="宋体" w:hAnsi="宋体" w:eastAsia="宋体" w:cs="宋体"/>
          <w:b/>
          <w:spacing w:val="8"/>
          <w:sz w:val="28"/>
          <w:szCs w:val="28"/>
          <w:highlight w:val="none"/>
          <w:lang w:eastAsia="zh-CN"/>
        </w:rPr>
      </w:pPr>
      <w:r>
        <w:rPr>
          <w:rFonts w:hint="eastAsia" w:ascii="宋体" w:hAnsi="宋体" w:eastAsia="宋体" w:cs="宋体"/>
          <w:b/>
          <w:spacing w:val="8"/>
          <w:sz w:val="28"/>
          <w:szCs w:val="28"/>
          <w:highlight w:val="none"/>
          <w:lang w:eastAsia="zh-CN"/>
        </w:rPr>
        <w:t>专题介绍：</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400" w:lineRule="exact"/>
        <w:ind w:firstLine="592" w:firstLineChars="200"/>
        <w:jc w:val="left"/>
        <w:textAlignment w:val="auto"/>
        <w:rPr>
          <w:rFonts w:hint="default" w:ascii="宋体" w:hAnsi="宋体" w:eastAsia="宋体" w:cs="宋体"/>
          <w:bCs/>
          <w:spacing w:val="8"/>
          <w:kern w:val="2"/>
          <w:sz w:val="28"/>
          <w:szCs w:val="28"/>
          <w:highlight w:val="none"/>
          <w:lang w:val="en-US" w:eastAsia="zh-CN" w:bidi="ar-SA"/>
        </w:rPr>
      </w:pPr>
      <w:r>
        <w:rPr>
          <w:rFonts w:hint="eastAsia" w:ascii="宋体" w:hAnsi="宋体" w:eastAsia="宋体" w:cs="宋体"/>
          <w:bCs/>
          <w:spacing w:val="8"/>
          <w:kern w:val="2"/>
          <w:sz w:val="28"/>
          <w:szCs w:val="28"/>
          <w:highlight w:val="none"/>
          <w:lang w:val="en-US" w:eastAsia="zh-CN" w:bidi="ar-SA"/>
        </w:rPr>
        <w:t>并购重组，已经成为最大化企业价值和创造持续竞争优势的企业战略的一个重要措施。以金融服务业、医疗、互联网、高科技等行业为代表，通过并购实现外延性增长，实现快速扩张以能源、矿产和钢铁为代表的传统行业在主业趋于疲软下，积极通过并购进入新领域，实现企业战略转型优秀企业纷纷走出国门，在全球范围内收购品牌、技术、能源等战略性资源，开辟新的成长市场;政府推动国企的混合所有制改革，催生大量的并购交易;在政策层面，政府不断松绑、创新并购相关政策，在并购审批、税务优惠、资金政策等方面的支持，直接有力地推动并购市场的持续活跃。然而，许多并购难以获得预想的成功，针对企业并购过程中遇到的种种问题，以及并购运作团队管理能力的欠缺，本课程内容立足深入剖析企业并购重组的运作方法与策略，集合海内外并购成功案例的通行要素，帮助企业提高并购成功率。</w:t>
      </w:r>
    </w:p>
    <w:p>
      <w:pPr>
        <w:keepNext w:val="0"/>
        <w:keepLines w:val="0"/>
        <w:pageBreakBefore w:val="0"/>
        <w:widowControl/>
        <w:numPr>
          <w:ilvl w:val="0"/>
          <w:numId w:val="6"/>
        </w:numPr>
        <w:kinsoku/>
        <w:wordWrap/>
        <w:overflowPunct/>
        <w:topLinePunct w:val="0"/>
        <w:autoSpaceDE/>
        <w:autoSpaceDN/>
        <w:bidi w:val="0"/>
        <w:adjustRightInd/>
        <w:snapToGrid/>
        <w:spacing w:before="120" w:after="120" w:line="380" w:lineRule="exact"/>
        <w:ind w:left="469" w:leftChars="0" w:firstLine="0" w:firstLineChars="0"/>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rPr>
        <w:t>课程内容：</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集团企业现金流管理与控制实务</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 xml:space="preserve">企业并购与并购融资                                          </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并购中的估值及报告阅读的关键</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b/>
          <w:spacing w:val="8"/>
          <w:sz w:val="28"/>
          <w:szCs w:val="28"/>
          <w:highlight w:val="none"/>
        </w:rPr>
      </w:pPr>
      <w:r>
        <w:rPr>
          <w:rFonts w:hint="eastAsia" w:ascii="宋体" w:hAnsi="宋体" w:eastAsia="宋体" w:cs="宋体"/>
          <w:kern w:val="0"/>
          <w:sz w:val="28"/>
          <w:szCs w:val="28"/>
          <w:highlight w:val="none"/>
        </w:rPr>
        <w:t>并购重组中的财务问题</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并购重组的风险控制</w:t>
      </w:r>
    </w:p>
    <w:p>
      <w:pPr>
        <w:keepNext w:val="0"/>
        <w:keepLines w:val="0"/>
        <w:pageBreakBefore w:val="0"/>
        <w:widowControl/>
        <w:kinsoku/>
        <w:wordWrap/>
        <w:overflowPunct/>
        <w:topLinePunct w:val="0"/>
        <w:autoSpaceDE/>
        <w:autoSpaceDN/>
        <w:bidi w:val="0"/>
        <w:adjustRightInd/>
        <w:snapToGrid/>
        <w:spacing w:before="313" w:beforeLines="100" w:after="120" w:line="380" w:lineRule="exact"/>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rPr>
        <w:t>专题八：数字化时代的业财融合实务与案例分析</w:t>
      </w:r>
    </w:p>
    <w:p>
      <w:pPr>
        <w:keepNext w:val="0"/>
        <w:keepLines w:val="0"/>
        <w:pageBreakBefore w:val="0"/>
        <w:widowControl/>
        <w:numPr>
          <w:ilvl w:val="0"/>
          <w:numId w:val="8"/>
        </w:numPr>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
          <w:spacing w:val="8"/>
          <w:sz w:val="28"/>
          <w:szCs w:val="28"/>
          <w:highlight w:val="none"/>
          <w:lang w:eastAsia="zh-CN"/>
        </w:rPr>
      </w:pPr>
      <w:r>
        <w:rPr>
          <w:rFonts w:hint="eastAsia" w:ascii="宋体" w:hAnsi="宋体" w:eastAsia="宋体" w:cs="宋体"/>
          <w:b/>
          <w:spacing w:val="8"/>
          <w:sz w:val="28"/>
          <w:szCs w:val="28"/>
          <w:highlight w:val="none"/>
          <w:lang w:eastAsia="zh-CN"/>
        </w:rPr>
        <w:t>专题介绍：</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400" w:lineRule="exact"/>
        <w:ind w:firstLine="592" w:firstLineChars="200"/>
        <w:jc w:val="left"/>
        <w:textAlignment w:val="auto"/>
        <w:rPr>
          <w:rFonts w:hint="eastAsia" w:ascii="宋体" w:hAnsi="宋体" w:eastAsia="宋体" w:cs="宋体"/>
          <w:bCs/>
          <w:spacing w:val="8"/>
          <w:kern w:val="2"/>
          <w:sz w:val="28"/>
          <w:szCs w:val="28"/>
          <w:highlight w:val="none"/>
          <w:lang w:val="en-US" w:eastAsia="zh-CN" w:bidi="ar-SA"/>
        </w:rPr>
      </w:pPr>
      <w:r>
        <w:rPr>
          <w:rFonts w:hint="eastAsia" w:ascii="宋体" w:hAnsi="宋体" w:eastAsia="宋体" w:cs="宋体"/>
          <w:bCs/>
          <w:spacing w:val="8"/>
          <w:kern w:val="2"/>
          <w:sz w:val="28"/>
          <w:szCs w:val="28"/>
          <w:highlight w:val="none"/>
          <w:lang w:val="en-US" w:eastAsia="zh-CN" w:bidi="ar-SA"/>
        </w:rPr>
        <w:t>在经济步入新常态的当下，企业需要的不是等待时机，而是不懈努力。必须以坚忍不拔的精神开展持续重塑，不断寻求并实施变革，做出敏捷的分析和预测，把资源集中于回报更高、前景更好的市场、产品或渠道。作为业务合作伙伴，财务专业人士能够为上述决策提供支持，并推动有效的绩效管理。而要实现这一目标，财务部门必须转型。财务需要借助标准化、自动化和共享服务提高效率，需要借助云计算、大数据和BI等提供有效的管理信息，通过决策支持和绩效管理发挥更大的影响力和作用，也就是业财融合。作为高效的业务合作伙伴，财务人员需要具备综合的技术、人际及概念能力。为在有限的时间内给大家提供财务转型的逻辑与路径参考，此次课程，以案例教学的方式，以点带面，逐步深入，让各类企业都能从中找到切入点，开启价值创造之路。</w:t>
      </w:r>
    </w:p>
    <w:p>
      <w:pPr>
        <w:keepNext w:val="0"/>
        <w:keepLines w:val="0"/>
        <w:pageBreakBefore w:val="0"/>
        <w:widowControl/>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lang w:eastAsia="zh-CN"/>
        </w:rPr>
        <w:t>（二）</w:t>
      </w:r>
      <w:r>
        <w:rPr>
          <w:rFonts w:hint="eastAsia" w:ascii="宋体" w:hAnsi="宋体" w:eastAsia="宋体" w:cs="宋体"/>
          <w:b/>
          <w:spacing w:val="8"/>
          <w:sz w:val="28"/>
          <w:szCs w:val="28"/>
          <w:highlight w:val="none"/>
        </w:rPr>
        <w:t>课程内容：</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财务管理转型背景</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业务对财务的需求</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战略支持路径与工具</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财务管理转型与信息技术运用能力</w:t>
      </w:r>
    </w:p>
    <w:p>
      <w:pPr>
        <w:keepNext w:val="0"/>
        <w:keepLines w:val="0"/>
        <w:pageBreakBefore w:val="0"/>
        <w:widowControl/>
        <w:kinsoku/>
        <w:wordWrap/>
        <w:overflowPunct/>
        <w:topLinePunct w:val="0"/>
        <w:autoSpaceDE/>
        <w:autoSpaceDN/>
        <w:bidi w:val="0"/>
        <w:adjustRightInd/>
        <w:snapToGrid/>
        <w:spacing w:before="313" w:beforeLines="100" w:after="120" w:line="380" w:lineRule="exact"/>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rPr>
        <w:t>专题九；财务共享中心的建设与实践</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Cs/>
          <w:spacing w:val="8"/>
          <w:kern w:val="2"/>
          <w:sz w:val="28"/>
          <w:szCs w:val="28"/>
          <w:highlight w:val="none"/>
          <w:lang w:val="en-US" w:eastAsia="zh-CN" w:bidi="ar-SA"/>
        </w:rPr>
      </w:pPr>
      <w:r>
        <w:rPr>
          <w:rFonts w:hint="eastAsia" w:ascii="宋体" w:hAnsi="宋体" w:eastAsia="宋体" w:cs="宋体"/>
          <w:b/>
          <w:spacing w:val="8"/>
          <w:sz w:val="28"/>
          <w:szCs w:val="28"/>
          <w:highlight w:val="none"/>
          <w:lang w:val="en-US" w:eastAsia="zh-CN"/>
        </w:rPr>
        <w:t>（一）专题介绍：</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400" w:lineRule="exact"/>
        <w:ind w:firstLine="592" w:firstLineChars="200"/>
        <w:jc w:val="left"/>
        <w:textAlignment w:val="auto"/>
        <w:rPr>
          <w:rFonts w:hint="default" w:ascii="宋体" w:hAnsi="宋体" w:eastAsia="宋体" w:cs="宋体"/>
          <w:bCs/>
          <w:spacing w:val="8"/>
          <w:kern w:val="2"/>
          <w:sz w:val="28"/>
          <w:szCs w:val="28"/>
          <w:highlight w:val="none"/>
          <w:lang w:val="en-US" w:eastAsia="zh-CN" w:bidi="ar-SA"/>
        </w:rPr>
      </w:pPr>
      <w:r>
        <w:rPr>
          <w:rFonts w:hint="eastAsia" w:ascii="宋体" w:hAnsi="宋体" w:eastAsia="宋体" w:cs="宋体"/>
          <w:bCs/>
          <w:spacing w:val="8"/>
          <w:kern w:val="2"/>
          <w:sz w:val="28"/>
          <w:szCs w:val="28"/>
          <w:highlight w:val="none"/>
          <w:lang w:val="en-US" w:eastAsia="zh-CN" w:bidi="ar-SA"/>
        </w:rPr>
        <w:t>随着信息科技的不断发展，企业财务系统在不断升级换代，业务系统、费用管控、资金管理、影像管理、电子凭证管理等财务外围辅助系统也在日益成熟；同时，随着网络传输带宽的不断扩容，也让移动办公、异地同步处理等变得更加便捷。依托信息技术基础，财务共享服务的效能也日益凸显。财务共享服务模式的出现，促进了整个财务行业的变革创新，财务共享服务中心已经从概念变成了实践。</w:t>
      </w:r>
    </w:p>
    <w:p>
      <w:pPr>
        <w:keepNext w:val="0"/>
        <w:keepLines w:val="0"/>
        <w:pageBreakBefore w:val="0"/>
        <w:widowControl/>
        <w:kinsoku/>
        <w:wordWrap/>
        <w:overflowPunct/>
        <w:topLinePunct w:val="0"/>
        <w:autoSpaceDE/>
        <w:autoSpaceDN/>
        <w:bidi w:val="0"/>
        <w:adjustRightInd/>
        <w:snapToGrid/>
        <w:spacing w:before="120" w:after="120" w:line="380" w:lineRule="exact"/>
        <w:ind w:firstLine="297" w:firstLineChars="100"/>
        <w:jc w:val="left"/>
        <w:textAlignment w:val="auto"/>
        <w:rPr>
          <w:rFonts w:hint="eastAsia" w:ascii="宋体" w:hAnsi="宋体" w:eastAsia="宋体" w:cs="宋体"/>
          <w:b/>
          <w:spacing w:val="8"/>
          <w:sz w:val="28"/>
          <w:szCs w:val="28"/>
          <w:highlight w:val="none"/>
        </w:rPr>
      </w:pPr>
      <w:r>
        <w:rPr>
          <w:rFonts w:hint="eastAsia" w:ascii="宋体" w:hAnsi="宋体" w:eastAsia="宋体" w:cs="宋体"/>
          <w:b/>
          <w:spacing w:val="8"/>
          <w:sz w:val="28"/>
          <w:szCs w:val="28"/>
          <w:highlight w:val="none"/>
          <w:lang w:eastAsia="zh-CN"/>
        </w:rPr>
        <w:t>（二）</w:t>
      </w:r>
      <w:r>
        <w:rPr>
          <w:rFonts w:hint="eastAsia" w:ascii="宋体" w:hAnsi="宋体" w:eastAsia="宋体" w:cs="宋体"/>
          <w:b/>
          <w:spacing w:val="8"/>
          <w:sz w:val="28"/>
          <w:szCs w:val="28"/>
          <w:highlight w:val="none"/>
        </w:rPr>
        <w:t>课程内容：</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财务共享服务的概念和特点及发展历程</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实施财务共享服务的收益</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财务转型与组织变革与价值提升</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财务共享服务中心的战略目标</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财务共享服务中心的流程设计与管理</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财务共享服务中心的运营管理</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财务共享服务中心的政策法规</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财务共享服务的发展与深化应用</w:t>
      </w:r>
    </w:p>
    <w:p>
      <w:pPr>
        <w:pStyle w:val="4"/>
        <w:keepNext w:val="0"/>
        <w:keepLines w:val="0"/>
        <w:pageBreakBefore w:val="0"/>
        <w:kinsoku/>
        <w:wordWrap/>
        <w:overflowPunct/>
        <w:topLinePunct w:val="0"/>
        <w:autoSpaceDE/>
        <w:autoSpaceDN/>
        <w:bidi w:val="0"/>
        <w:adjustRightInd/>
        <w:snapToGrid/>
        <w:spacing w:before="313" w:beforeLines="100" w:after="120" w:line="380" w:lineRule="exact"/>
        <w:ind w:firstLine="0" w:firstLineChars="0"/>
        <w:textAlignment w:val="auto"/>
        <w:rPr>
          <w:rFonts w:hint="eastAsia" w:ascii="宋体" w:hAnsi="宋体" w:eastAsia="宋体" w:cs="宋体"/>
          <w:b/>
          <w:bCs/>
          <w:spacing w:val="8"/>
          <w:sz w:val="28"/>
          <w:szCs w:val="28"/>
          <w:highlight w:val="none"/>
        </w:rPr>
      </w:pPr>
      <w:r>
        <w:rPr>
          <w:rFonts w:hint="eastAsia" w:ascii="宋体" w:hAnsi="宋体" w:eastAsia="宋体" w:cs="宋体"/>
          <w:b/>
          <w:spacing w:val="8"/>
          <w:sz w:val="28"/>
          <w:szCs w:val="28"/>
          <w:highlight w:val="none"/>
        </w:rPr>
        <w:t>专题</w:t>
      </w:r>
      <w:r>
        <w:rPr>
          <w:rFonts w:hint="eastAsia" w:ascii="宋体" w:hAnsi="宋体" w:eastAsia="宋体" w:cs="宋体"/>
          <w:b/>
          <w:spacing w:val="8"/>
          <w:sz w:val="28"/>
          <w:szCs w:val="28"/>
          <w:highlight w:val="none"/>
          <w:lang w:eastAsia="zh-CN"/>
        </w:rPr>
        <w:t>十</w:t>
      </w:r>
      <w:r>
        <w:rPr>
          <w:rFonts w:hint="eastAsia" w:ascii="宋体" w:hAnsi="宋体" w:eastAsia="宋体" w:cs="宋体"/>
          <w:b/>
          <w:spacing w:val="8"/>
          <w:sz w:val="28"/>
          <w:szCs w:val="28"/>
          <w:highlight w:val="none"/>
        </w:rPr>
        <w:t>：</w:t>
      </w:r>
      <w:r>
        <w:rPr>
          <w:rFonts w:hint="eastAsia" w:ascii="宋体" w:hAnsi="宋体" w:eastAsia="宋体" w:cs="宋体"/>
          <w:b/>
          <w:bCs/>
          <w:spacing w:val="8"/>
          <w:sz w:val="28"/>
          <w:szCs w:val="28"/>
          <w:highlight w:val="none"/>
        </w:rPr>
        <w:t>财务人员法律素质提升与《民法典》权威解读</w:t>
      </w:r>
    </w:p>
    <w:p>
      <w:pPr>
        <w:pStyle w:val="4"/>
        <w:keepNext w:val="0"/>
        <w:keepLines w:val="0"/>
        <w:pageBreakBefore w:val="0"/>
        <w:numPr>
          <w:ilvl w:val="0"/>
          <w:numId w:val="9"/>
        </w:numPr>
        <w:kinsoku/>
        <w:wordWrap/>
        <w:overflowPunct/>
        <w:topLinePunct w:val="0"/>
        <w:autoSpaceDE/>
        <w:autoSpaceDN/>
        <w:bidi w:val="0"/>
        <w:adjustRightInd/>
        <w:snapToGrid/>
        <w:spacing w:before="120" w:after="120" w:line="380" w:lineRule="exact"/>
        <w:ind w:left="0" w:leftChars="0" w:firstLine="297" w:firstLineChars="100"/>
        <w:textAlignment w:val="auto"/>
        <w:rPr>
          <w:rFonts w:hint="eastAsia" w:ascii="宋体" w:hAnsi="宋体" w:cs="宋体"/>
          <w:b/>
          <w:spacing w:val="8"/>
          <w:sz w:val="28"/>
          <w:szCs w:val="28"/>
          <w:highlight w:val="none"/>
          <w:lang w:eastAsia="zh-CN"/>
        </w:rPr>
      </w:pPr>
      <w:r>
        <w:rPr>
          <w:rFonts w:hint="eastAsia" w:ascii="宋体" w:hAnsi="宋体" w:cs="宋体"/>
          <w:b/>
          <w:spacing w:val="8"/>
          <w:sz w:val="28"/>
          <w:szCs w:val="28"/>
          <w:highlight w:val="none"/>
          <w:lang w:eastAsia="zh-CN"/>
        </w:rPr>
        <w:t>专题介绍：</w:t>
      </w:r>
    </w:p>
    <w:p>
      <w:pPr>
        <w:pStyle w:val="4"/>
        <w:keepNext w:val="0"/>
        <w:keepLines w:val="0"/>
        <w:pageBreakBefore w:val="0"/>
        <w:numPr>
          <w:ilvl w:val="0"/>
          <w:numId w:val="0"/>
        </w:numPr>
        <w:kinsoku/>
        <w:wordWrap/>
        <w:overflowPunct/>
        <w:topLinePunct w:val="0"/>
        <w:autoSpaceDE/>
        <w:autoSpaceDN/>
        <w:bidi w:val="0"/>
        <w:adjustRightInd/>
        <w:snapToGrid/>
        <w:spacing w:before="120" w:after="120" w:line="400" w:lineRule="exact"/>
        <w:ind w:firstLine="592" w:firstLineChars="200"/>
        <w:textAlignment w:val="auto"/>
        <w:rPr>
          <w:rFonts w:hint="default" w:ascii="宋体" w:hAnsi="宋体" w:cs="宋体"/>
          <w:b/>
          <w:spacing w:val="8"/>
          <w:sz w:val="28"/>
          <w:szCs w:val="28"/>
          <w:highlight w:val="none"/>
          <w:lang w:val="en-US" w:eastAsia="zh-CN"/>
        </w:rPr>
      </w:pPr>
      <w:r>
        <w:rPr>
          <w:rFonts w:hint="eastAsia" w:ascii="宋体" w:hAnsi="宋体" w:cs="宋体"/>
          <w:bCs/>
          <w:spacing w:val="8"/>
          <w:sz w:val="28"/>
          <w:szCs w:val="28"/>
          <w:highlight w:val="none"/>
        </w:rPr>
        <w:t>为</w:t>
      </w:r>
      <w:r>
        <w:rPr>
          <w:rFonts w:hint="eastAsia" w:ascii="宋体" w:hAnsi="宋体" w:eastAsia="宋体" w:cs="宋体"/>
          <w:bCs/>
          <w:spacing w:val="8"/>
          <w:sz w:val="28"/>
          <w:szCs w:val="28"/>
          <w:highlight w:val="none"/>
        </w:rPr>
        <w:t>贯彻学习宣传《民法典》的精神,便于社会各界尤其是政法界、实务界人士更好地了解民法典编篡的背景、意义以及正确理解,深入解读《民法典》对民事法律行为的构成事件、行为主体要求及法律责任,掌握《民法典》的内容、框架、结构,</w:t>
      </w:r>
      <w:r>
        <w:rPr>
          <w:rFonts w:hint="eastAsia" w:ascii="宋体" w:hAnsi="宋体" w:cs="宋体"/>
          <w:bCs/>
          <w:spacing w:val="8"/>
          <w:sz w:val="28"/>
          <w:szCs w:val="28"/>
          <w:highlight w:val="none"/>
        </w:rPr>
        <w:t xml:space="preserve"> 帮助社会各界准确理解《中华人民共和国民法典》精神，加强社会各界对民法典学习和探讨。</w:t>
      </w:r>
    </w:p>
    <w:p>
      <w:pPr>
        <w:pStyle w:val="4"/>
        <w:keepNext w:val="0"/>
        <w:keepLines w:val="0"/>
        <w:pageBreakBefore w:val="0"/>
        <w:kinsoku/>
        <w:wordWrap/>
        <w:overflowPunct/>
        <w:topLinePunct w:val="0"/>
        <w:autoSpaceDE/>
        <w:autoSpaceDN/>
        <w:bidi w:val="0"/>
        <w:adjustRightInd/>
        <w:snapToGrid/>
        <w:spacing w:before="120" w:after="120" w:line="380" w:lineRule="exact"/>
        <w:ind w:left="0" w:leftChars="0" w:firstLine="297" w:firstLineChars="100"/>
        <w:textAlignment w:val="auto"/>
        <w:rPr>
          <w:rFonts w:hint="eastAsia" w:ascii="宋体" w:hAnsi="宋体" w:eastAsia="宋体" w:cs="宋体"/>
          <w:b/>
          <w:spacing w:val="8"/>
          <w:sz w:val="28"/>
          <w:szCs w:val="28"/>
          <w:highlight w:val="none"/>
        </w:rPr>
      </w:pPr>
      <w:r>
        <w:rPr>
          <w:rFonts w:hint="eastAsia" w:ascii="宋体" w:hAnsi="宋体" w:cs="宋体"/>
          <w:b/>
          <w:spacing w:val="8"/>
          <w:sz w:val="28"/>
          <w:szCs w:val="28"/>
          <w:highlight w:val="none"/>
          <w:lang w:eastAsia="zh-CN"/>
        </w:rPr>
        <w:t>（二）</w:t>
      </w:r>
      <w:r>
        <w:rPr>
          <w:rFonts w:hint="eastAsia" w:ascii="宋体" w:hAnsi="宋体" w:eastAsia="宋体" w:cs="宋体"/>
          <w:b/>
          <w:spacing w:val="8"/>
          <w:sz w:val="28"/>
          <w:szCs w:val="28"/>
          <w:highlight w:val="none"/>
        </w:rPr>
        <w:t>课程内容：</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民法典的概述、制定及重要意义</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民法典基本规定权威解读</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重点与法律关系及特点</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民法典的构成要件、行为主体及责任方式</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民法典调整对象的基本原则及热点难点解析</w:t>
      </w:r>
    </w:p>
    <w:p>
      <w:pPr>
        <w:keepNext w:val="0"/>
        <w:keepLines w:val="0"/>
        <w:pageBreakBefore w:val="0"/>
        <w:widowControl/>
        <w:numPr>
          <w:ilvl w:val="0"/>
          <w:numId w:val="7"/>
        </w:numPr>
        <w:kinsoku/>
        <w:wordWrap/>
        <w:overflowPunct/>
        <w:topLinePunct w:val="0"/>
        <w:autoSpaceDE/>
        <w:autoSpaceDN/>
        <w:bidi w:val="0"/>
        <w:adjustRightInd/>
        <w:snapToGrid/>
        <w:spacing w:before="120" w:after="120" w:line="380" w:lineRule="exact"/>
        <w:ind w:firstLine="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 xml:space="preserve">精选的民法典案例分析以及实务操作  </w:t>
      </w:r>
    </w:p>
    <w:p>
      <w:pPr>
        <w:ind w:firstLine="840" w:firstLineChars="300"/>
      </w:pPr>
      <w:r>
        <w:rPr>
          <w:rFonts w:hint="eastAsia" w:ascii="宋体" w:hAnsi="宋体" w:eastAsia="宋体" w:cs="宋体"/>
          <w:kern w:val="0"/>
          <w:sz w:val="28"/>
          <w:szCs w:val="28"/>
          <w:highlight w:val="none"/>
        </w:rPr>
        <w:t>民法典编撰争议问题的类型化分析</w:t>
      </w:r>
      <w:r>
        <w:rPr>
          <w:rFonts w:hint="eastAsia" w:ascii="宋体" w:hAnsi="宋体" w:eastAsia="宋体" w:cs="宋体"/>
          <w:kern w:val="0"/>
          <w:sz w:val="28"/>
          <w:szCs w:val="28"/>
          <w:highlight w:val="none"/>
        </w:rPr>
        <w:br w:type="textWrapp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BC922F"/>
    <w:multiLevelType w:val="singleLevel"/>
    <w:tmpl w:val="A7BC922F"/>
    <w:lvl w:ilvl="0" w:tentative="0">
      <w:start w:val="1"/>
      <w:numFmt w:val="chineseCounting"/>
      <w:suff w:val="nothing"/>
      <w:lvlText w:val="（%1）"/>
      <w:lvlJc w:val="left"/>
      <w:pPr>
        <w:ind w:left="469" w:firstLine="0"/>
      </w:pPr>
      <w:rPr>
        <w:rFonts w:hint="eastAsia"/>
      </w:rPr>
    </w:lvl>
  </w:abstractNum>
  <w:abstractNum w:abstractNumId="1">
    <w:nsid w:val="AB3775F8"/>
    <w:multiLevelType w:val="singleLevel"/>
    <w:tmpl w:val="AB3775F8"/>
    <w:lvl w:ilvl="0" w:tentative="0">
      <w:start w:val="1"/>
      <w:numFmt w:val="chineseCounting"/>
      <w:suff w:val="nothing"/>
      <w:lvlText w:val="（%1）"/>
      <w:lvlJc w:val="left"/>
      <w:rPr>
        <w:rFonts w:hint="eastAsia"/>
      </w:rPr>
    </w:lvl>
  </w:abstractNum>
  <w:abstractNum w:abstractNumId="2">
    <w:nsid w:val="BDDB8E36"/>
    <w:multiLevelType w:val="singleLevel"/>
    <w:tmpl w:val="BDDB8E36"/>
    <w:lvl w:ilvl="0" w:tentative="0">
      <w:start w:val="1"/>
      <w:numFmt w:val="chineseCounting"/>
      <w:suff w:val="nothing"/>
      <w:lvlText w:val="（%1）"/>
      <w:lvlJc w:val="left"/>
      <w:rPr>
        <w:rFonts w:hint="eastAsia"/>
      </w:rPr>
    </w:lvl>
  </w:abstractNum>
  <w:abstractNum w:abstractNumId="3">
    <w:nsid w:val="F5D6BA4A"/>
    <w:multiLevelType w:val="singleLevel"/>
    <w:tmpl w:val="F5D6BA4A"/>
    <w:lvl w:ilvl="0" w:tentative="0">
      <w:start w:val="1"/>
      <w:numFmt w:val="chineseCounting"/>
      <w:suff w:val="nothing"/>
      <w:lvlText w:val="（%1）"/>
      <w:lvlJc w:val="left"/>
      <w:rPr>
        <w:rFonts w:hint="eastAsia"/>
      </w:rPr>
    </w:lvl>
  </w:abstractNum>
  <w:abstractNum w:abstractNumId="4">
    <w:nsid w:val="58B9D192"/>
    <w:multiLevelType w:val="singleLevel"/>
    <w:tmpl w:val="58B9D192"/>
    <w:lvl w:ilvl="0" w:tentative="0">
      <w:start w:val="1"/>
      <w:numFmt w:val="chineseCounting"/>
      <w:suff w:val="nothing"/>
      <w:lvlText w:val="（%1）"/>
      <w:lvlJc w:val="left"/>
      <w:rPr>
        <w:rFonts w:hint="eastAsia"/>
      </w:rPr>
    </w:lvl>
  </w:abstractNum>
  <w:abstractNum w:abstractNumId="5">
    <w:nsid w:val="5A00110A"/>
    <w:multiLevelType w:val="singleLevel"/>
    <w:tmpl w:val="5A00110A"/>
    <w:lvl w:ilvl="0" w:tentative="0">
      <w:start w:val="1"/>
      <w:numFmt w:val="bullet"/>
      <w:lvlText w:val=""/>
      <w:lvlJc w:val="left"/>
      <w:pPr>
        <w:ind w:left="420" w:hanging="420"/>
      </w:pPr>
      <w:rPr>
        <w:rFonts w:hint="default" w:ascii="Wingdings" w:hAnsi="Wingdings"/>
      </w:rPr>
    </w:lvl>
  </w:abstractNum>
  <w:abstractNum w:abstractNumId="6">
    <w:nsid w:val="5A001242"/>
    <w:multiLevelType w:val="singleLevel"/>
    <w:tmpl w:val="5A001242"/>
    <w:lvl w:ilvl="0" w:tentative="0">
      <w:start w:val="1"/>
      <w:numFmt w:val="bullet"/>
      <w:lvlText w:val=""/>
      <w:lvlJc w:val="left"/>
      <w:pPr>
        <w:ind w:left="420" w:hanging="420"/>
      </w:pPr>
      <w:rPr>
        <w:rFonts w:hint="default" w:ascii="Wingdings" w:hAnsi="Wingdings"/>
      </w:rPr>
    </w:lvl>
  </w:abstractNum>
  <w:abstractNum w:abstractNumId="7">
    <w:nsid w:val="5A001444"/>
    <w:multiLevelType w:val="singleLevel"/>
    <w:tmpl w:val="5A001444"/>
    <w:lvl w:ilvl="0" w:tentative="0">
      <w:start w:val="1"/>
      <w:numFmt w:val="bullet"/>
      <w:lvlText w:val=""/>
      <w:lvlJc w:val="left"/>
      <w:pPr>
        <w:ind w:left="420" w:hanging="420"/>
      </w:pPr>
      <w:rPr>
        <w:rFonts w:hint="default" w:ascii="Wingdings" w:hAnsi="Wingdings"/>
      </w:rPr>
    </w:lvl>
  </w:abstractNum>
  <w:abstractNum w:abstractNumId="8">
    <w:nsid w:val="7E90C586"/>
    <w:multiLevelType w:val="singleLevel"/>
    <w:tmpl w:val="7E90C586"/>
    <w:lvl w:ilvl="0" w:tentative="0">
      <w:start w:val="1"/>
      <w:numFmt w:val="chineseCounting"/>
      <w:suff w:val="nothing"/>
      <w:lvlText w:val="（%1）"/>
      <w:lvlJc w:val="left"/>
      <w:rPr>
        <w:rFonts w:hint="eastAsia"/>
      </w:rPr>
    </w:lvl>
  </w:abstractNum>
  <w:num w:numId="1">
    <w:abstractNumId w:val="8"/>
  </w:num>
  <w:num w:numId="2">
    <w:abstractNumId w:val="5"/>
  </w:num>
  <w:num w:numId="3">
    <w:abstractNumId w:val="2"/>
  </w:num>
  <w:num w:numId="4">
    <w:abstractNumId w:val="6"/>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72CE5"/>
    <w:rsid w:val="3937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2020-06-15T03:07:00Z</dcterms:created>
  <dc:creator>桑立强</dc:creator>
  <cp:lastModifiedBy>桑立强</cp:lastModifiedBy>
  <dcterms:modified xsi:type="dcterms:W3CDTF">2020-06-15T03:09:56Z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