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2020年银行业内部控制与审计（稽核）培训班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54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主管主办单位：中国总会计师协会</w:t>
      </w:r>
    </w:p>
    <w:p>
      <w:pPr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委托承办单位：北京</w:t>
      </w: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长训教育科技有限公司</w:t>
      </w: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</w:p>
    <w:p>
      <w:pPr>
        <w:spacing w:line="54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第1期  2020年7月27日—30日（27日报到）  成都市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第2期  2020年8月21日—24日（21日报到）  桂林市 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2020年9月11日—14日（11日报到）  杭州市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2020年10月16日—19日（16日报到） 厦门市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第5期  2020年11月13日—16日（13日报到） 上海市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eastAsia" w:ascii="仿宋" w:hAnsi="仿宋" w:eastAsia="仿宋" w:cs="仿宋_GB2312"/>
          <w:color w:val="FF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2020年12月11日—14日（11日报到） 广州市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二、培训师资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审计署、银保监会相关专家，著名银行业金融机构中实战经验丰富的总审计师、高级审计师等，南京审计大学、知名财经高等院校，四大会计师事务所的权威专家和全国审计领军人才等。</w:t>
      </w:r>
    </w:p>
    <w:p>
      <w:pPr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三、培训对象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(一)银行业审计工作分管领导，审计部、稽核监察部、风控部、合规部、财务部、信息技术部等负责人和业务骨干；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(二)监管机构和行业组织相关业务负责人；</w:t>
      </w:r>
    </w:p>
    <w:p>
      <w:pPr>
        <w:adjustRightInd w:val="0"/>
        <w:snapToGrid w:val="0"/>
        <w:spacing w:line="54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</w:t>
      </w:r>
      <w:r>
        <w:rPr>
          <w:rFonts w:hint="eastAsia" w:ascii="仿宋" w:hAnsi="仿宋" w:eastAsia="仿宋" w:cs="仿宋_GB2312"/>
          <w:color w:val="000000"/>
          <w:spacing w:val="-10"/>
          <w:sz w:val="30"/>
          <w:szCs w:val="30"/>
        </w:rPr>
        <w:t>各高等院校从事审计教学的教师、专业带头人和科研人员。</w:t>
      </w:r>
    </w:p>
    <w:p>
      <w:pPr>
        <w:spacing w:line="54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四、主要培训内容</w:t>
      </w:r>
    </w:p>
    <w:p>
      <w:pPr>
        <w:adjustRightInd w:val="0"/>
        <w:snapToGrid w:val="0"/>
        <w:spacing w:line="540" w:lineRule="exact"/>
        <w:ind w:firstLine="602" w:firstLineChars="200"/>
        <w:jc w:val="both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模块一：新形势下银行业内控审计的变革与创新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当前经济金融形势及银行运行情况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银行业最新风险监管政策解读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中央改革审计管理体制的重大决策部署解读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2020年银行业审计工作方向和重点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ascii="仿宋" w:hAnsi="仿宋" w:eastAsia="仿宋" w:cs="MS Gothic"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模块二：巴塞尔监管规则与银行内部控制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全球金融风险管理发展与巴塞尔新资本协议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巴塞尔监管规则及局限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巴塞尔协议III产生的影响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如何协调巴塞尔协议体系和COSO-ERM体系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模块三：公司治理与合规建设实务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股权与公司治理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宏观政策执行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信贷管理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影子银行和交叉金融业务风险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违规决策和经营案例分析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战略目标、经营目标、合规目标控制与措施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hint="eastAsia"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模块四：银行业内控与全面风险管理实务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内部控制要素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内控基本方法与工具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内控建设内容、思路和方法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银行业风险识别与测量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银行业全面风险管理体系的构建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如何通过专项内部控制审计做好“经济体检”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不良贷款、表外业务、热钱冲击等操作风险防范案例分析</w:t>
      </w:r>
    </w:p>
    <w:p>
      <w:pPr>
        <w:adjustRightInd w:val="0"/>
        <w:snapToGrid w:val="0"/>
        <w:spacing w:line="476" w:lineRule="exact"/>
        <w:ind w:firstLine="602" w:firstLineChars="200"/>
        <w:jc w:val="both"/>
        <w:rPr>
          <w:rFonts w:ascii="仿宋" w:hAnsi="仿宋" w:eastAsia="仿宋" w:cs="仿宋_GB2312"/>
          <w:b/>
          <w:sz w:val="30"/>
          <w:szCs w:val="30"/>
        </w:rPr>
      </w:pPr>
      <w:r>
        <w:rPr>
          <w:rFonts w:hint="eastAsia" w:ascii="仿宋" w:hAnsi="仿宋" w:eastAsia="仿宋" w:cs="仿宋_GB2312"/>
          <w:b/>
          <w:sz w:val="30"/>
          <w:szCs w:val="30"/>
        </w:rPr>
        <w:t>模块五：银行业内部审计（稽核）实务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《审计署关于内部审计工作的规定》解析与应用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业务流程梳理、风险分析和管控措施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内部控制审计如何体现审计广度与深度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稽核现场审计方法和技巧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反保险欺诈审计、反洗钱审计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hint="eastAsia"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内部审计成果应用的“加减乘除法”</w:t>
      </w:r>
    </w:p>
    <w:p>
      <w:pPr>
        <w:adjustRightInd w:val="0"/>
        <w:snapToGrid w:val="0"/>
        <w:spacing w:line="476" w:lineRule="exact"/>
        <w:ind w:firstLine="600" w:firstLineChars="200"/>
        <w:jc w:val="both"/>
        <w:rPr>
          <w:rFonts w:ascii="仿宋" w:hAnsi="仿宋" w:eastAsia="仿宋" w:cs="仿宋_GB2312"/>
          <w:bCs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ascii="仿宋" w:hAnsi="仿宋" w:eastAsia="仿宋" w:cs="仿宋_GB2312"/>
          <w:bCs/>
          <w:sz w:val="30"/>
          <w:szCs w:val="30"/>
        </w:rPr>
        <w:t>大数据分析技术在金融审计中的运用</w:t>
      </w:r>
    </w:p>
    <w:p>
      <w:pPr>
        <w:spacing w:line="476" w:lineRule="exact"/>
        <w:ind w:firstLine="602" w:firstLineChars="200"/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sz w:val="30"/>
          <w:szCs w:val="30"/>
        </w:rPr>
        <w:t>模块六：业务交流</w:t>
      </w:r>
    </w:p>
    <w:p>
      <w:pPr>
        <w:spacing w:line="476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从业经验交流</w:t>
      </w:r>
    </w:p>
    <w:p>
      <w:pPr>
        <w:spacing w:line="476" w:lineRule="exact"/>
        <w:ind w:firstLine="600" w:firstLineChars="200"/>
        <w:rPr>
          <w:rFonts w:hint="eastAsia" w:ascii="仿宋" w:hAnsi="仿宋" w:eastAsia="仿宋" w:cs="宋体"/>
          <w:color w:val="000000"/>
          <w:sz w:val="30"/>
          <w:szCs w:val="30"/>
        </w:rPr>
      </w:pPr>
      <w:r>
        <w:rPr>
          <w:rFonts w:hint="eastAsia" w:ascii="MS Mincho" w:hAnsi="MS Mincho" w:eastAsia="MS Mincho" w:cs="MS Mincho"/>
          <w:sz w:val="30"/>
          <w:szCs w:val="30"/>
        </w:rPr>
        <w:t>▪</w:t>
      </w:r>
      <w:r>
        <w:rPr>
          <w:rFonts w:hint="eastAsia" w:ascii="仿宋" w:hAnsi="仿宋" w:eastAsia="仿宋" w:cs="仿宋_GB2312"/>
          <w:bCs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color w:val="000000"/>
          <w:sz w:val="30"/>
          <w:szCs w:val="30"/>
        </w:rPr>
        <w:t>专家及与会代表现场点评</w:t>
      </w:r>
    </w:p>
    <w:p>
      <w:pPr>
        <w:spacing w:line="476" w:lineRule="exact"/>
        <w:ind w:firstLine="599" w:firstLineChars="199"/>
        <w:rPr>
          <w:rFonts w:ascii="仿宋" w:hAnsi="仿宋" w:eastAsia="仿宋" w:cs="仿宋_GB2312"/>
          <w:b/>
          <w:bCs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</w:rPr>
        <w:t>五、培训证书</w:t>
      </w:r>
    </w:p>
    <w:p>
      <w:pPr>
        <w:spacing w:line="476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476" w:lineRule="exact"/>
        <w:ind w:firstLine="596" w:firstLineChars="198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sz w:val="30"/>
          <w:szCs w:val="30"/>
        </w:rPr>
        <w:t>收费标准</w:t>
      </w:r>
    </w:p>
    <w:p>
      <w:pPr>
        <w:spacing w:line="476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食宿统一安排，费用自理；往返交通及费用由参会单位或个人自行办理。报名人员可在培训班开始前一周将费用汇至委托承办单位账户，并将银行汇款凭证发邮件至会务组，以便开具增值税专用发票。收款单位户名：北京长训教育科技有限公司；开户银行：中国工商银行股份有限公司北京科技园支行；账号：0200 2964 0920 0239 547。培训班也接受现场缴费。</w:t>
      </w:r>
    </w:p>
    <w:p>
      <w:pPr>
        <w:spacing w:line="476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476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476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476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476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476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476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476" w:lineRule="exact"/>
        <w:ind w:firstLine="597" w:firstLineChars="199"/>
        <w:jc w:val="both"/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李烁硕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205E0"/>
    <w:rsid w:val="681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2020-06-11T00:41:00Z</dcterms:created>
  <dc:creator>桑立强</dc:creator>
  <cp:lastModifiedBy>桑立强</cp:lastModifiedBy>
  <dcterms:modified xsi:type="dcterms:W3CDTF">2020-06-11T00:42:42Z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