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2020年银行业会计准则专题培训班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作  方  案</w:t>
      </w:r>
    </w:p>
    <w:p>
      <w:pPr>
        <w:spacing w:line="52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主管主办单位：中国总会计师协会</w:t>
      </w:r>
    </w:p>
    <w:p>
      <w:pPr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委托承办单位：北京长训教育科技有限公司</w:t>
      </w:r>
    </w:p>
    <w:p>
      <w:pPr>
        <w:spacing w:line="52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</w:p>
    <w:p>
      <w:pPr>
        <w:spacing w:line="52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2020年7月27日—30日（27日报到）  成都市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第2期  2020年8月20日—23日（20日报到）  桂林市 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2020年9月15日—18日（15日报到）  杭州市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2020年10月15日—18日（15日报到） 厦门市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第5期  2020年11月12日—15日（12日报到） 上海市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 w:cs="仿宋_GB2312"/>
          <w:color w:val="FF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第6期  2020年12月10日—13日（10日报到） 广州市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财政部、银保监会参与会计准则制定的相关专家，著名银行业金融机构中实战经验丰富的总会计师、首席财务官等，中国财政科学研究院、国家会计学院、知名财经高等院校，四大会计师事务所的权威专家和全国会计领军人才等。</w:t>
      </w: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三、培训对象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(一)银行业财务管理工作分管领导，财务部、会计结算部、风控部、资产管理部、信贷部、信息技术部等负责人和业务骨干；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(二)监管机构和行业组织相关业务负责人；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</w:t>
      </w:r>
      <w:r>
        <w:rPr>
          <w:rFonts w:hint="eastAsia" w:ascii="仿宋" w:hAnsi="仿宋" w:eastAsia="仿宋" w:cs="仿宋_GB2312"/>
          <w:color w:val="000000"/>
          <w:spacing w:val="-10"/>
          <w:sz w:val="30"/>
          <w:szCs w:val="30"/>
        </w:rPr>
        <w:t>各高等院校从事会计教学的教师、专业带头人和科研人员。</w:t>
      </w:r>
    </w:p>
    <w:p>
      <w:pPr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四、培训内容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模块一：银行业会计准则发展趋势前瞻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当前经济金融形势及银行运行情况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国际财务报告准则的全面改革和修订动态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我国会计准则国际趋同及未来发展趋势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模块二：新金融工具准则22号、23号、24号和37号解读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新金融工具准则及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应用指南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重点内容解析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金融工具分类与计量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金融工具减值的预期信用损失模型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金融资产转移、相应会计处理及保理、资产证券化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套期会计准则新旧变化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金融工具列报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模块三：新金融工具会计准则实务案例解析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银行业执行新金融工具准则问题与监管口径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《永续债相关会计处理的规定》应用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新金融工具准则应用典型误区案例解析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执行新准则对银行业财务报表列报的影响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执行新准则对银行业商业模式、投融资安排等的影响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模块四：其他新修订、新发布会计准则解读与应用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新收入准则、新租赁准则全面解读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新非货币性资产交换准则、新债务重组准则全面解读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2020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企业会计准则修订及更新解读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2020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准则指南、征求意见稿和其他会计规定解读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新企业会计准则体系下的会计核算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新企业会计准则体系下的涉税应对</w:t>
      </w:r>
    </w:p>
    <w:p>
      <w:pPr>
        <w:spacing w:line="540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模块五：</w:t>
      </w: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银行业财会卓越领导力提升专题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战略思维、创新思维、底线思维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领导力与执行力</w:t>
      </w:r>
    </w:p>
    <w:p>
      <w:pPr>
        <w:spacing w:line="540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模块六：业务交流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从业经验交流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专家及与会代表现场点评</w:t>
      </w:r>
    </w:p>
    <w:p>
      <w:pPr>
        <w:spacing w:line="540" w:lineRule="exact"/>
        <w:ind w:firstLine="599" w:firstLineChars="199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五、培训证书</w:t>
      </w:r>
    </w:p>
    <w:p>
      <w:pPr>
        <w:spacing w:line="540" w:lineRule="exact"/>
        <w:ind w:left="496" w:leftChars="248" w:firstLine="150" w:firstLineChars="5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540" w:lineRule="exact"/>
        <w:ind w:firstLine="596" w:firstLineChars="198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收费标准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4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4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4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4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4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4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4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81469"/>
    <w:rsid w:val="049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2020-06-11T00:37:00Z</dcterms:created>
  <dc:creator>桑立强</dc:creator>
  <cp:lastModifiedBy>桑立强</cp:lastModifiedBy>
  <dcterms:modified xsi:type="dcterms:W3CDTF">2020-06-11T00:37:58Z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