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2020年新闻出版业财务管理培训班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4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4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2020年8月15日—18日（15日报到）  成都市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2020年9月16日—19日（16日报到）  杭州市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2020年11月18日—21日（18日报到） 厦门市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培训师资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财政部、国家税务总局相关专家，国内外著名出版集团、报业集团中实战经验丰富的总会计师、首席财务官等，中国财政科学研究院、国家会计学院、知名财经高等院校，四大会计师事务所的权威专家和全国会计领军人才等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spacing w:line="540" w:lineRule="exact"/>
        <w:ind w:firstLine="597" w:firstLineChars="199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各出版、发行、印刷、报业、期刊、广电集团及所属企业分</w:t>
      </w:r>
      <w:r>
        <w:rPr>
          <w:rFonts w:hint="eastAsia" w:ascii="仿宋" w:hAnsi="仿宋" w:eastAsia="仿宋" w:cs="仿宋_GB2312"/>
          <w:color w:val="000000"/>
          <w:spacing w:val="-6"/>
          <w:sz w:val="30"/>
          <w:szCs w:val="30"/>
        </w:rPr>
        <w:t>管资本运营和财务工作领导，财务会计高级管理人员和业务骨干。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四、</w:t>
      </w:r>
      <w:r>
        <w:rPr>
          <w:rFonts w:hint="eastAsia" w:ascii="仿宋" w:hAnsi="仿宋" w:eastAsia="仿宋" w:cs="仿宋_GB2312"/>
          <w:b/>
          <w:sz w:val="30"/>
          <w:szCs w:val="30"/>
        </w:rPr>
        <w:t>培训课程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模块一：新形势下新闻出版业财务管理改革发展趋势分析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2020年新闻出版业经济政策解读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文化体制改革综合配套政策解读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财务转型：从财务会计到管理会计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“大智移云”下的会计变革转型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新闻出版新业态对财务管理的挑战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模块二：新企业会计准则解读与应用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新金融工具和新收入准则解读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其他新发布、修订企业会计准则解读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新旧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会计制度（准则）衔接的重点难点问题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新准则下财务战略的合理选用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模块三：新闻出版机构财务管理实务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主要会计科目核算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全面预算管理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筹资、投资、营运资本管理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收入、成本、利润管理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财务报表编制与分析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绩效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评价管理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模块四：新闻出版机构财务内部控制与风险管理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财务工作内部控制制度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财务工作基本规范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MS Gothic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财务风险预警、防范与化解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MS Gothic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MS Gothic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财务管理中的法律风险防</w:t>
      </w:r>
      <w:r>
        <w:rPr>
          <w:rFonts w:hint="eastAsia" w:ascii="仿宋" w:hAnsi="仿宋" w:eastAsia="仿宋" w:cs="MS Gothic"/>
          <w:sz w:val="30"/>
          <w:szCs w:val="30"/>
        </w:rPr>
        <w:t>范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MS Gothic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基于风险的财务战略选择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模块五：新闻出版机构税务筹划最佳实践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企业增值税、营业税与所得税等最新政策解读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涉税风险及防范要点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电子发票使用推广实践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税收筹划经典案例解析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新收入准则实施后纳税筹划的调整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模块六：新闻出版机构财会卓越领导力提升专题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战略思维、改革思维、法治思维提升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高效财务管理团队建设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领导力与执行力</w:t>
      </w:r>
    </w:p>
    <w:p>
      <w:pPr>
        <w:spacing w:line="50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模块七：业务交流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从业经验交流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专家及与会代表现场点评</w:t>
      </w:r>
    </w:p>
    <w:p>
      <w:pPr>
        <w:spacing w:line="500" w:lineRule="exact"/>
        <w:ind w:firstLine="599" w:firstLineChars="199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五、培训证书</w:t>
      </w:r>
    </w:p>
    <w:p>
      <w:pPr>
        <w:spacing w:line="500" w:lineRule="exact"/>
        <w:ind w:left="496" w:leftChars="248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0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0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0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0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0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0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0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00" w:lineRule="exact"/>
        <w:ind w:firstLine="597" w:firstLineChars="199"/>
        <w:jc w:val="both"/>
        <w:rPr>
          <w:rFonts w:hint="eastAsia" w:ascii="宋体" w:hAnsi="宋体" w:eastAsia="仿宋" w:cs="宋体"/>
          <w:color w:val="121212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  <w:t>强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F42E1"/>
    <w:rsid w:val="3AA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2020-06-11T00:33:00Z</dcterms:created>
  <dc:creator>桑立强</dc:creator>
  <cp:lastModifiedBy>桑立强</cp:lastModifiedBy>
  <dcterms:modified xsi:type="dcterms:W3CDTF">2020-06-11T00:34:04Z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