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ascii="仿宋_GB2312" w:eastAsia="仿宋_GB2312"/>
          <w:b/>
          <w:sz w:val="28"/>
          <w:szCs w:val="28"/>
        </w:rPr>
      </w:pPr>
      <w:r>
        <w:rPr>
          <w:rFonts w:hint="eastAsia" w:ascii="仿宋_GB2312" w:eastAsia="仿宋_GB2312"/>
          <w:sz w:val="28"/>
          <w:szCs w:val="28"/>
        </w:rPr>
        <w:t>附件:2：</w:t>
      </w:r>
    </w:p>
    <w:p>
      <w:pPr>
        <w:spacing w:line="480" w:lineRule="exact"/>
        <w:jc w:val="center"/>
        <w:rPr>
          <w:rFonts w:ascii="宋体" w:hAnsi="宋体"/>
          <w:b/>
          <w:sz w:val="32"/>
          <w:szCs w:val="32"/>
        </w:rPr>
      </w:pPr>
      <w:r>
        <w:rPr>
          <w:rFonts w:hint="eastAsia" w:ascii="宋体" w:hAnsi="宋体"/>
          <w:b/>
          <w:sz w:val="32"/>
          <w:szCs w:val="32"/>
        </w:rPr>
        <w:t>2020年智能科技时代下的财务变革与转型暨管理会计实践系列专题培训班课程大纲</w:t>
      </w: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专题一：公司财务战略管理与商业模式创新专题</w:t>
      </w:r>
    </w:p>
    <w:p>
      <w:pPr>
        <w:numPr>
          <w:ilvl w:val="0"/>
          <w:numId w:val="1"/>
        </w:numPr>
        <w:tabs>
          <w:tab w:val="left" w:pos="1620"/>
          <w:tab w:val="left" w:pos="1800"/>
        </w:tabs>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公司财务战略管理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公司财务战略管理观念的建立</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公司财务战略管理的基础</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公司财务战略管理的特征</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公司财务战略管理对传统财务管理的挑战</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公司财务战略管理研究方法与过程</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公司生命周期财务战略管理</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（二）</w:t>
      </w:r>
      <w:r>
        <w:rPr>
          <w:rFonts w:hint="eastAsia" w:ascii="仿宋_GB2312" w:eastAsia="仿宋_GB2312"/>
          <w:b/>
          <w:sz w:val="28"/>
          <w:szCs w:val="28"/>
        </w:rPr>
        <w:t>通过商业模式打造企业盈利系统</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移动互联时代对商业模式的颠覆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商业模式创新与跨行业竞争模式</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通过商业模式全面改善现金流</w:t>
      </w:r>
    </w:p>
    <w:p>
      <w:pPr>
        <w:spacing w:line="460" w:lineRule="exact"/>
        <w:ind w:left="817"/>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专题二：业财融合与管理会计价值创造-管理会计落地专题</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管理会计定位与业务财务职能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财务会计转型与管理会计技能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财务战略与发展战略的统一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战略财务管理与业务财务职能</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业务财务价值实现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业务财务的职能与四维价值</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业务财务的组织建立与绩效评价</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业务财务实施技能与案例解析</w:t>
      </w:r>
    </w:p>
    <w:p>
      <w:pPr>
        <w:numPr>
          <w:ilvl w:val="0"/>
          <w:numId w:val="3"/>
        </w:numPr>
        <w:spacing w:line="40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管理会计体系设计与应用指引解析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管理会计体系设计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管理会计应用指引基本体例格式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管理会计案例库特点与应用</w:t>
      </w:r>
    </w:p>
    <w:p>
      <w:pPr>
        <w:numPr>
          <w:ilvl w:val="0"/>
          <w:numId w:val="3"/>
        </w:numPr>
        <w:spacing w:line="40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业财融合案例</w:t>
      </w:r>
    </w:p>
    <w:p>
      <w:pPr>
        <w:spacing w:before="93" w:beforeLines="30" w:after="93" w:afterLines="30" w:line="480" w:lineRule="exact"/>
        <w:ind w:firstLine="413" w:firstLineChars="147"/>
        <w:rPr>
          <w:rFonts w:hint="eastAsia"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专题三：大数据、区块链在财务领域的应用专题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（一）财务大数据项目实施过程与成效</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大数据分析逻辑</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w:t>
      </w:r>
      <w:r>
        <w:rPr>
          <w:rFonts w:ascii="仿宋_GB2312" w:hAnsi="宋体" w:eastAsia="仿宋_GB2312"/>
          <w:sz w:val="28"/>
          <w:szCs w:val="28"/>
        </w:rPr>
        <w:t>+</w:t>
      </w:r>
      <w:r>
        <w:rPr>
          <w:rFonts w:hint="eastAsia" w:ascii="仿宋_GB2312" w:hAnsi="宋体" w:eastAsia="仿宋_GB2312"/>
          <w:sz w:val="28"/>
          <w:szCs w:val="28"/>
        </w:rPr>
        <w:t>预测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w:t>
      </w:r>
      <w:r>
        <w:rPr>
          <w:rFonts w:ascii="仿宋_GB2312" w:hAnsi="宋体" w:eastAsia="仿宋_GB2312"/>
          <w:sz w:val="28"/>
          <w:szCs w:val="28"/>
        </w:rPr>
        <w:t>+</w:t>
      </w:r>
      <w:r>
        <w:rPr>
          <w:rFonts w:hint="eastAsia" w:ascii="仿宋_GB2312" w:hAnsi="宋体" w:eastAsia="仿宋_GB2312"/>
          <w:sz w:val="28"/>
          <w:szCs w:val="28"/>
        </w:rPr>
        <w:t>控制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w:t>
      </w:r>
      <w:r>
        <w:rPr>
          <w:rFonts w:ascii="仿宋_GB2312" w:hAnsi="宋体" w:eastAsia="仿宋_GB2312"/>
          <w:sz w:val="28"/>
          <w:szCs w:val="28"/>
        </w:rPr>
        <w:t>+</w:t>
      </w:r>
      <w:r>
        <w:rPr>
          <w:rFonts w:hint="eastAsia" w:ascii="仿宋_GB2312" w:hAnsi="宋体" w:eastAsia="仿宋_GB2312"/>
          <w:sz w:val="28"/>
          <w:szCs w:val="28"/>
        </w:rPr>
        <w:t>决策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w:t>
      </w:r>
      <w:r>
        <w:rPr>
          <w:rFonts w:ascii="仿宋_GB2312" w:hAnsi="宋体" w:eastAsia="仿宋_GB2312"/>
          <w:sz w:val="28"/>
          <w:szCs w:val="28"/>
        </w:rPr>
        <w:t>+</w:t>
      </w:r>
      <w:r>
        <w:rPr>
          <w:rFonts w:hint="eastAsia" w:ascii="仿宋_GB2312" w:hAnsi="宋体" w:eastAsia="仿宋_GB2312"/>
          <w:sz w:val="28"/>
          <w:szCs w:val="28"/>
        </w:rPr>
        <w:t>评价</w:t>
      </w:r>
    </w:p>
    <w:p>
      <w:pPr>
        <w:tabs>
          <w:tab w:val="left" w:pos="1620"/>
          <w:tab w:val="left" w:pos="1800"/>
        </w:tabs>
        <w:spacing w:line="480" w:lineRule="exact"/>
        <w:ind w:firstLine="413" w:firstLineChars="147"/>
        <w:jc w:val="left"/>
        <w:rPr>
          <w:b/>
          <w:szCs w:val="21"/>
        </w:rPr>
      </w:pPr>
      <w:r>
        <w:rPr>
          <w:rFonts w:hint="eastAsia" w:ascii="仿宋_GB2312" w:hAnsi="宋体" w:eastAsia="仿宋_GB2312"/>
          <w:b/>
          <w:bCs/>
          <w:sz w:val="28"/>
          <w:szCs w:val="28"/>
        </w:rPr>
        <w:t>（二）大数据最佳实施案例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建设过程与难点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若干案例分析</w:t>
      </w: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（三）区块链在财务领域的应用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区块链新风向解读——国家战略决策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区块链技术的基本原理与核心技术</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仿宋" w:eastAsia="仿宋_GB2312"/>
          <w:color w:val="000000"/>
          <w:sz w:val="28"/>
          <w:szCs w:val="28"/>
        </w:rPr>
        <w:t>区块链在财务领域的应用</w:t>
      </w:r>
    </w:p>
    <w:p>
      <w:pPr>
        <w:spacing w:line="480" w:lineRule="exact"/>
        <w:ind w:left="817"/>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专题四：财务共享中心的运营与优化和人工智能技术应用专题</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（一）财务管理信息化智能化趋势与应用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财务管理信息化现状与趋势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人工智能技术发展趋势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人工智能技术在财务领域</w:t>
      </w:r>
      <w:r>
        <w:rPr>
          <w:rFonts w:hint="eastAsia" w:eastAsia="仿宋_GB2312" w:asciiTheme="minorHAnsi" w:hAnsiTheme="minorHAnsi"/>
          <w:sz w:val="28"/>
          <w:szCs w:val="28"/>
        </w:rPr>
        <w:t>的</w:t>
      </w:r>
      <w:r>
        <w:rPr>
          <w:rFonts w:hint="eastAsia" w:ascii="仿宋_GB2312" w:hAnsi="宋体" w:eastAsia="仿宋_GB2312"/>
          <w:sz w:val="28"/>
          <w:szCs w:val="28"/>
        </w:rPr>
        <w:t>应</w:t>
      </w:r>
      <w:r>
        <w:rPr>
          <w:rFonts w:hint="eastAsia" w:eastAsia="仿宋_GB2312" w:asciiTheme="minorHAnsi" w:hAnsiTheme="minorHAnsi"/>
          <w:sz w:val="28"/>
          <w:szCs w:val="28"/>
        </w:rPr>
        <w:t>用</w:t>
      </w:r>
      <w:r>
        <w:rPr>
          <w:rFonts w:hint="eastAsia" w:ascii="仿宋_GB2312" w:hAnsi="宋体" w:eastAsia="仿宋_GB2312"/>
          <w:sz w:val="28"/>
          <w:szCs w:val="28"/>
        </w:rPr>
        <w:t>（</w:t>
      </w:r>
      <w:r>
        <w:rPr>
          <w:rFonts w:eastAsia="仿宋_GB2312" w:asciiTheme="majorHAnsi" w:hAnsiTheme="majorHAnsi"/>
          <w:sz w:val="28"/>
          <w:szCs w:val="28"/>
        </w:rPr>
        <w:t>RPA</w:t>
      </w:r>
      <w:r>
        <w:rPr>
          <w:rFonts w:ascii="仿宋_GB2312" w:hAnsi="宋体" w:eastAsia="仿宋_GB2312"/>
          <w:sz w:val="28"/>
          <w:szCs w:val="28"/>
        </w:rPr>
        <w:t>）</w:t>
      </w: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（二）共享中心团队建设与组织实施</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明确共享服务中心的时效目标</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共享中心与外包发展趋势的分析与比较</w:t>
      </w:r>
    </w:p>
    <w:p>
      <w:pPr>
        <w:spacing w:line="46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（三）财务共享服务中心运营与优化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共享中心的体系设计与布局</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共享中心项目的操作实务</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财务共享中心价值最大化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案例解析</w:t>
      </w:r>
    </w:p>
    <w:p>
      <w:pPr>
        <w:spacing w:line="480" w:lineRule="exact"/>
        <w:ind w:left="817"/>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专题五：国企混合所有制改革与资产重组专题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（一）国企混改政策解读及最新形势分析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《国企改革“双百行动”工作方案》全面解析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《中央企业混合所有制改革操作指引》及地方国企操作指引全面解读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《关于以管资本为主加快国有资产监管职能转变的实施意见》解析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（二）国企混改的难点解析、操作模式及实战技术</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混合所有制改革的焦点和难点问题解析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不同类型国有企业推行混改的操作模式以及可借鉴的典型案例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国企混改方案设计及组织实施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国企混改疑难问题处理</w:t>
      </w:r>
    </w:p>
    <w:p>
      <w:pPr>
        <w:pStyle w:val="4"/>
        <w:tabs>
          <w:tab w:val="left" w:pos="1620"/>
          <w:tab w:val="left" w:pos="1800"/>
        </w:tabs>
        <w:spacing w:line="480" w:lineRule="exact"/>
        <w:ind w:left="420" w:firstLine="0" w:firstLineChars="0"/>
        <w:jc w:val="left"/>
        <w:rPr>
          <w:rFonts w:ascii="仿宋_GB2312" w:hAnsi="宋体" w:eastAsia="仿宋_GB2312"/>
          <w:b/>
          <w:bCs/>
          <w:sz w:val="28"/>
          <w:szCs w:val="28"/>
        </w:rPr>
      </w:pPr>
      <w:r>
        <w:rPr>
          <w:rFonts w:hint="eastAsia" w:ascii="仿宋_GB2312" w:hAnsi="宋体" w:eastAsia="仿宋_GB2312"/>
          <w:b/>
          <w:bCs/>
          <w:sz w:val="28"/>
          <w:szCs w:val="28"/>
        </w:rPr>
        <w:t>（三）国企混改股权激励与资产重组案例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《关于进一步做好中央企业控股上市公司股权激励工作有关事项的通知》解析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股权激励适用范围、操作模式及可借鉴的典型案例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资产重组的设计与实施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资产重组案例</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专题六：企业投融资策略与资本运营专题</w:t>
      </w:r>
    </w:p>
    <w:p>
      <w:pPr>
        <w:tabs>
          <w:tab w:val="left" w:pos="1620"/>
          <w:tab w:val="left" w:pos="1800"/>
        </w:tabs>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（一）资本运营与最新金融形势</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（二）融资策略设计与实施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现行经济形势下企业投融资风险分析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融资前的需求分析与评估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融资渠道与方法的选择技巧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融资常见问题与对策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私募股权融资的应用过程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股权融资的技术问题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（三）投资项目实施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投资项目优劣的标准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投资分析的主要工具及方法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财务数据分析与风险识别</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建立正确有效的评估体系</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专题七：国资委最新内控意见解读与内控合规体系实践专题</w:t>
      </w:r>
    </w:p>
    <w:p>
      <w:pPr>
        <w:pStyle w:val="4"/>
        <w:numPr>
          <w:ilvl w:val="0"/>
          <w:numId w:val="4"/>
        </w:numPr>
        <w:spacing w:before="93" w:beforeLines="30" w:after="93" w:afterLines="30" w:line="480" w:lineRule="exact"/>
        <w:ind w:firstLineChars="0"/>
        <w:rPr>
          <w:rFonts w:ascii="仿宋_GB2312" w:hAnsi="宋体" w:eastAsia="仿宋_GB2312"/>
          <w:b/>
          <w:bCs/>
          <w:sz w:val="28"/>
          <w:szCs w:val="28"/>
        </w:rPr>
      </w:pPr>
      <w:r>
        <w:rPr>
          <w:rFonts w:hint="eastAsia" w:ascii="仿宋_GB2312" w:hAnsi="宋体" w:eastAsia="仿宋_GB2312"/>
          <w:b/>
          <w:bCs/>
          <w:sz w:val="28"/>
          <w:szCs w:val="28"/>
        </w:rPr>
        <w:t>国资内控监管最新要求解读</w:t>
      </w:r>
    </w:p>
    <w:p>
      <w:pPr>
        <w:numPr>
          <w:ilvl w:val="0"/>
          <w:numId w:val="2"/>
        </w:numPr>
        <w:spacing w:line="480" w:lineRule="exact"/>
        <w:ind w:leftChars="200" w:firstLine="397"/>
        <w:jc w:val="left"/>
        <w:rPr>
          <w:rFonts w:ascii="仿宋_GB2312" w:hAnsi="宋体" w:eastAsia="仿宋_GB2312"/>
          <w:spacing w:val="-12"/>
          <w:sz w:val="28"/>
          <w:szCs w:val="28"/>
        </w:rPr>
      </w:pPr>
      <w:r>
        <w:rPr>
          <w:rFonts w:hint="eastAsia" w:ascii="仿宋_GB2312" w:hAnsi="宋体" w:eastAsia="仿宋_GB2312"/>
          <w:spacing w:val="-12"/>
          <w:sz w:val="28"/>
          <w:szCs w:val="28"/>
        </w:rPr>
        <w:t>《关于加强中央企业内部控制体系建设与监督工作的实施意见》解析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国资内控监管最新要求对内部控制、风险管理与合规的影响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基于国资内控监管最新要求下国有企业风险点剖析</w:t>
      </w:r>
    </w:p>
    <w:p>
      <w:pPr>
        <w:pStyle w:val="4"/>
        <w:numPr>
          <w:ilvl w:val="0"/>
          <w:numId w:val="4"/>
        </w:numPr>
        <w:spacing w:before="93" w:beforeLines="30" w:after="93" w:afterLines="30" w:line="480" w:lineRule="exact"/>
        <w:ind w:firstLineChars="0"/>
        <w:rPr>
          <w:rFonts w:ascii="仿宋_GB2312" w:hAnsi="宋体" w:eastAsia="仿宋_GB2312"/>
          <w:b/>
          <w:bCs/>
          <w:sz w:val="28"/>
          <w:szCs w:val="28"/>
        </w:rPr>
      </w:pPr>
      <w:r>
        <w:rPr>
          <w:rFonts w:hint="eastAsia" w:ascii="仿宋_GB2312" w:hAnsi="宋体" w:eastAsia="仿宋_GB2312"/>
          <w:b/>
          <w:bCs/>
          <w:sz w:val="28"/>
          <w:szCs w:val="28"/>
        </w:rPr>
        <w:t>国资监管最新要求下的风险管控体系建设与优化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国资监管最新要求下的内控体系优化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企业风险管理体系建设与优化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如何促进和提升企业内控持续优化与有效性</w:t>
      </w:r>
    </w:p>
    <w:p>
      <w:pPr>
        <w:tabs>
          <w:tab w:val="left" w:pos="1620"/>
          <w:tab w:val="left" w:pos="1800"/>
        </w:tabs>
        <w:spacing w:line="480" w:lineRule="exact"/>
        <w:ind w:firstLine="413" w:firstLineChars="147"/>
        <w:jc w:val="left"/>
        <w:rPr>
          <w:rFonts w:ascii="仿宋_GB2312" w:eastAsia="仿宋_GB2312"/>
          <w:b/>
          <w:bCs/>
          <w:sz w:val="28"/>
          <w:szCs w:val="28"/>
        </w:rPr>
      </w:pPr>
      <w:r>
        <w:rPr>
          <w:rFonts w:hint="eastAsia" w:ascii="仿宋_GB2312" w:hAnsi="宋体" w:eastAsia="仿宋_GB2312"/>
          <w:b/>
          <w:bCs/>
          <w:sz w:val="28"/>
          <w:szCs w:val="28"/>
        </w:rPr>
        <w:t>（三）风险评估分析与内控报告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人、财、物的消耗与管理费用的评估分析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现金流、利润率等指标的评估分析</w:t>
      </w:r>
    </w:p>
    <w:p>
      <w:pPr>
        <w:numPr>
          <w:ilvl w:val="0"/>
          <w:numId w:val="2"/>
        </w:numPr>
        <w:spacing w:line="480" w:lineRule="exact"/>
        <w:ind w:leftChars="200" w:firstLine="397"/>
        <w:jc w:val="left"/>
        <w:rPr>
          <w:rFonts w:ascii="仿宋_GB2312" w:eastAsia="仿宋_GB2312"/>
          <w:b/>
          <w:sz w:val="28"/>
          <w:szCs w:val="28"/>
        </w:rPr>
      </w:pPr>
      <w:r>
        <w:rPr>
          <w:rFonts w:hint="eastAsia" w:ascii="仿宋_GB2312" w:hAnsi="宋体" w:eastAsia="仿宋_GB2312"/>
          <w:sz w:val="28"/>
          <w:szCs w:val="28"/>
        </w:rPr>
        <w:t>企业内部控制报告的撰写技巧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企业的控制案例分析</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专题八：全面预算管理的难点与案例分析专题</w:t>
      </w:r>
    </w:p>
    <w:p>
      <w:pPr>
        <w:numPr>
          <w:ilvl w:val="0"/>
          <w:numId w:val="5"/>
        </w:numPr>
        <w:spacing w:line="480" w:lineRule="exact"/>
        <w:ind w:firstLine="413" w:firstLineChars="147"/>
        <w:jc w:val="left"/>
        <w:rPr>
          <w:rFonts w:ascii="仿宋_GB2312" w:hAnsi="宋体" w:eastAsia="仿宋_GB2312"/>
          <w:b/>
          <w:sz w:val="28"/>
          <w:szCs w:val="28"/>
        </w:rPr>
      </w:pPr>
      <w:r>
        <w:rPr>
          <w:rFonts w:hint="eastAsia" w:ascii="仿宋_GB2312" w:hAnsi="宋体" w:eastAsia="仿宋_GB2312"/>
          <w:b/>
          <w:sz w:val="28"/>
          <w:szCs w:val="28"/>
        </w:rPr>
        <w:t>全面预算与企业战略</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企业战略与全面预算的关系</w:t>
      </w:r>
    </w:p>
    <w:p>
      <w:pPr>
        <w:numPr>
          <w:ilvl w:val="0"/>
          <w:numId w:val="2"/>
        </w:numPr>
        <w:spacing w:line="480" w:lineRule="exact"/>
        <w:ind w:leftChars="200" w:firstLine="397"/>
        <w:jc w:val="left"/>
        <w:rPr>
          <w:rFonts w:ascii="仿宋_GB2312" w:hAnsi="宋体" w:eastAsia="仿宋_GB2312"/>
          <w:b/>
          <w:sz w:val="28"/>
          <w:szCs w:val="28"/>
        </w:rPr>
      </w:pPr>
      <w:r>
        <w:rPr>
          <w:rFonts w:hint="eastAsia" w:ascii="仿宋_GB2312" w:hAnsi="宋体" w:eastAsia="仿宋_GB2312"/>
          <w:sz w:val="28"/>
          <w:szCs w:val="28"/>
        </w:rPr>
        <w:t>全面预算管理如何实现企业战略意图</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（二）</w:t>
      </w:r>
      <w:r>
        <w:rPr>
          <w:rFonts w:hint="eastAsia" w:ascii="仿宋_GB2312" w:hAnsi="宋体" w:eastAsia="仿宋_GB2312"/>
          <w:b/>
          <w:sz w:val="28"/>
          <w:szCs w:val="28"/>
        </w:rPr>
        <w:t>全面预算体系的构建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预算编制的框架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预算编制方法的实用性与反作用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预算管理的误解</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三级递进预算目标的确定原则</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关键预算的编制方法及案例分析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预算偏差度的设定技巧与协调</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（三）</w:t>
      </w:r>
      <w:r>
        <w:rPr>
          <w:rFonts w:hint="eastAsia" w:ascii="仿宋_GB2312" w:hAnsi="宋体" w:eastAsia="仿宋_GB2312"/>
          <w:b/>
          <w:sz w:val="28"/>
          <w:szCs w:val="28"/>
        </w:rPr>
        <w:t>全面预算的有效执行</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仪表板使用与预算执行情况跟踪</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差异分析与预算分析体系的建立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预算与执行脱节的原因分析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考核管理和激励机制的重要性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预算执行中的常见行为剖析与案例分析</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专题九：企业成本管理与供应链成本管控专题</w:t>
      </w:r>
    </w:p>
    <w:p>
      <w:pPr>
        <w:tabs>
          <w:tab w:val="left" w:pos="1620"/>
          <w:tab w:val="left" w:pos="1800"/>
        </w:tabs>
        <w:spacing w:line="48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（一）新成本制度解析与成本管理体系</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企业产品成本核算制度</w:t>
      </w:r>
      <w:r>
        <w:rPr>
          <w:rFonts w:hint="eastAsia" w:ascii="仿宋_GB2312" w:hAnsi="宋体" w:eastAsia="仿宋_GB2312"/>
          <w:sz w:val="28"/>
          <w:szCs w:val="28"/>
        </w:rPr>
        <w:t>解析与趋势分析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多维视觉下的精细化产品成本核算体系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利润测算与目标成本确定</w:t>
      </w:r>
    </w:p>
    <w:p>
      <w:pPr>
        <w:tabs>
          <w:tab w:val="left" w:pos="1620"/>
          <w:tab w:val="left" w:pos="1800"/>
        </w:tabs>
        <w:spacing w:line="480" w:lineRule="exact"/>
        <w:ind w:firstLine="413" w:firstLineChars="147"/>
        <w:jc w:val="left"/>
        <w:rPr>
          <w:rFonts w:ascii="仿宋_GB2312" w:eastAsia="仿宋_GB2312"/>
          <w:color w:val="000000"/>
          <w:sz w:val="28"/>
          <w:szCs w:val="28"/>
        </w:rPr>
      </w:pPr>
      <w:r>
        <w:rPr>
          <w:rFonts w:hint="eastAsia" w:ascii="仿宋_GB2312" w:hAnsi="宋体" w:eastAsia="仿宋_GB2312"/>
          <w:b/>
          <w:bCs/>
          <w:sz w:val="28"/>
          <w:szCs w:val="28"/>
        </w:rPr>
        <w:t>（二）价值链成本管理与案例解析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颠覆传统视角的战略成本管理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战略成本动因分析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基于价值链的成本管理分析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（三）供应链成本管控与流程再造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差异化定位系统图</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与供应商共同降低成本</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供应链中关键点控制</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专题十:大数据时代的财务报表分析和新准则下报表格式变动案例解读专题</w:t>
      </w:r>
    </w:p>
    <w:p>
      <w:pPr>
        <w:numPr>
          <w:ilvl w:val="0"/>
          <w:numId w:val="6"/>
        </w:numPr>
        <w:spacing w:line="480" w:lineRule="exact"/>
        <w:ind w:left="420"/>
        <w:jc w:val="left"/>
        <w:rPr>
          <w:rFonts w:ascii="仿宋_GB2312" w:hAnsi="宋体" w:eastAsia="仿宋_GB2312"/>
          <w:b/>
          <w:bCs/>
          <w:sz w:val="28"/>
          <w:szCs w:val="28"/>
        </w:rPr>
      </w:pPr>
      <w:r>
        <w:rPr>
          <w:rFonts w:hint="eastAsia" w:ascii="仿宋_GB2312" w:hAnsi="宋体" w:eastAsia="仿宋_GB2312"/>
          <w:b/>
          <w:bCs/>
          <w:sz w:val="28"/>
          <w:szCs w:val="28"/>
        </w:rPr>
        <w:t>新准则下报表格式变动案例</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2019年度一般企业财务报表格式变动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合并财务报表格式（2019版）操作难点</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合并报表编制实务</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新会计准则变动对报表的影响</w:t>
      </w:r>
    </w:p>
    <w:p>
      <w:p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（二）财务报表信息质量识别</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财务报表粉饰的类型及手法</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舞弊风险因素有效性分析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如何通过财务报表透视企业经营管理存在的问题</w:t>
      </w:r>
    </w:p>
    <w:p>
      <w:pPr>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（三）大数据时代财务报表分析企业盈利能力</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通过关键财务指标分析企业获利能力</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盈利能力与财务比率综合运用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行业经济特征与财务报告之间的关系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财务绩效指标的应用</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专题十一：企业会计准则新变化与收入准则实施难点专题</w:t>
      </w:r>
    </w:p>
    <w:p>
      <w:pPr>
        <w:numPr>
          <w:ilvl w:val="0"/>
          <w:numId w:val="7"/>
        </w:num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收入准则实施详解</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新收入模型的核心原则</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新收入准则实施难点与应用案例</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新收入准则实施后管理决策的调整</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（二）企业会计准则与准则解释变动解析</w:t>
      </w:r>
    </w:p>
    <w:p>
      <w:pPr>
        <w:numPr>
          <w:ilvl w:val="0"/>
          <w:numId w:val="2"/>
        </w:numPr>
        <w:spacing w:line="480" w:lineRule="exact"/>
        <w:ind w:leftChars="200" w:firstLine="397"/>
        <w:jc w:val="left"/>
        <w:rPr>
          <w:rFonts w:ascii="仿宋_GB2312" w:eastAsia="仿宋_GB2312"/>
          <w:sz w:val="28"/>
          <w:szCs w:val="28"/>
        </w:rPr>
      </w:pPr>
      <w:r>
        <w:rPr>
          <w:rFonts w:hint="eastAsia" w:ascii="仿宋_GB2312" w:hAnsi="宋体" w:eastAsia="仿宋_GB2312"/>
          <w:sz w:val="28"/>
          <w:szCs w:val="28"/>
        </w:rPr>
        <w:t>企业会计准则第12号——债务重组</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企业会计准则第×号——保险合同（修订）（征求意见稿）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企业会计准则解释第9-13号解读</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企业会计准则解释第13号应用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新企业会计准则新变化及其对业务影响</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（三）企业在执行新会计准则中存在的困惑及解决对策</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eastAsia="仿宋_GB2312"/>
          <w:b/>
          <w:sz w:val="28"/>
          <w:szCs w:val="28"/>
        </w:rPr>
      </w:pPr>
      <w:bookmarkStart w:id="0" w:name="_GoBack"/>
      <w:bookmarkEnd w:id="0"/>
      <w:r>
        <w:rPr>
          <w:rFonts w:hint="eastAsia" w:ascii="仿宋_GB2312" w:hAnsi="宋体" w:eastAsia="仿宋_GB2312"/>
          <w:b/>
          <w:bCs/>
          <w:sz w:val="28"/>
          <w:szCs w:val="28"/>
        </w:rPr>
        <w:t>专题十二：</w:t>
      </w:r>
      <w:r>
        <w:rPr>
          <w:rFonts w:hint="eastAsia" w:ascii="仿宋_GB2312" w:hAnsi="宋体" w:eastAsia="仿宋_GB2312"/>
          <w:b/>
          <w:bCs/>
          <w:spacing w:val="-6"/>
          <w:sz w:val="28"/>
          <w:szCs w:val="28"/>
        </w:rPr>
        <w:t>2020年税收政策和税收征管变化背景下企业税收风险管理专题</w:t>
      </w:r>
    </w:p>
    <w:p>
      <w:pPr>
        <w:numPr>
          <w:ilvl w:val="0"/>
          <w:numId w:val="8"/>
        </w:numPr>
        <w:tabs>
          <w:tab w:val="left" w:pos="1620"/>
          <w:tab w:val="left" w:pos="1800"/>
        </w:tabs>
        <w:spacing w:line="460" w:lineRule="exact"/>
        <w:ind w:firstLine="413"/>
        <w:jc w:val="left"/>
        <w:rPr>
          <w:rFonts w:ascii="仿宋_GB2312" w:hAnsi="仿宋_GB2312" w:eastAsia="仿宋_GB2312" w:cs="宋体"/>
          <w:color w:val="000000"/>
          <w:kern w:val="0"/>
          <w:sz w:val="28"/>
          <w:szCs w:val="32"/>
        </w:rPr>
      </w:pPr>
      <w:r>
        <w:rPr>
          <w:rFonts w:hint="eastAsia" w:ascii="仿宋_GB2312" w:hAnsi="宋体" w:eastAsia="仿宋_GB2312"/>
          <w:b/>
          <w:bCs/>
          <w:sz w:val="28"/>
          <w:szCs w:val="28"/>
        </w:rPr>
        <w:t>2020年税收政策梳理与难点解析</w:t>
      </w:r>
    </w:p>
    <w:p>
      <w:pPr>
        <w:numPr>
          <w:ilvl w:val="0"/>
          <w:numId w:val="8"/>
        </w:numPr>
        <w:tabs>
          <w:tab w:val="left" w:pos="1620"/>
          <w:tab w:val="left" w:pos="1800"/>
        </w:tabs>
        <w:spacing w:line="46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个税、社保改革的应对技巧及案例</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1、新个人所得税法应对策略分析</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2、社保费疑难问题解析与应对办法</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3、职工薪酬的范畴界定</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4、职工薪酬与企业所得税、个税和社保费用缴纳法律界限实例</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税收征管变化背景下企业涉税风险和涉税风险管理</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1、税制改革和税收征管变化成为常态引发企业涉税风险</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2、企业涉税风险防范的重点</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企业适用税法错误风险防范措施——增值税风险防范</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电子税务局、金税三期数据监控的风险情况分析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核算风险——增值税的会计处理准确</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发票管理——增值税、企业所得税风险防范</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合同管理——基于流程再造的涉税风险防范</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增值税立法的政策变化对企业的影响</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消费税立法的政策变化对企业的影响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7A9"/>
    <w:multiLevelType w:val="multilevel"/>
    <w:tmpl w:val="07CF37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983246"/>
    <w:multiLevelType w:val="multilevel"/>
    <w:tmpl w:val="14983246"/>
    <w:lvl w:ilvl="0" w:tentative="0">
      <w:start w:val="1"/>
      <w:numFmt w:val="japaneseCounting"/>
      <w:lvlText w:val="（%1）"/>
      <w:lvlJc w:val="left"/>
      <w:pPr>
        <w:ind w:left="1296" w:hanging="883"/>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
    <w:nsid w:val="5A486FB5"/>
    <w:multiLevelType w:val="singleLevel"/>
    <w:tmpl w:val="5A486FB5"/>
    <w:lvl w:ilvl="0" w:tentative="0">
      <w:start w:val="1"/>
      <w:numFmt w:val="chineseCounting"/>
      <w:suff w:val="nothing"/>
      <w:lvlText w:val="（%1）"/>
      <w:lvlJc w:val="left"/>
    </w:lvl>
  </w:abstractNum>
  <w:abstractNum w:abstractNumId="3">
    <w:nsid w:val="5A4877AA"/>
    <w:multiLevelType w:val="singleLevel"/>
    <w:tmpl w:val="5A4877AA"/>
    <w:lvl w:ilvl="0" w:tentative="0">
      <w:start w:val="1"/>
      <w:numFmt w:val="chineseCounting"/>
      <w:suff w:val="nothing"/>
      <w:lvlText w:val="（%1）"/>
      <w:lvlJc w:val="left"/>
    </w:lvl>
  </w:abstractNum>
  <w:abstractNum w:abstractNumId="4">
    <w:nsid w:val="5A4A6308"/>
    <w:multiLevelType w:val="singleLevel"/>
    <w:tmpl w:val="5A4A6308"/>
    <w:lvl w:ilvl="0" w:tentative="0">
      <w:start w:val="1"/>
      <w:numFmt w:val="chineseCounting"/>
      <w:suff w:val="nothing"/>
      <w:lvlText w:val="（%1）"/>
      <w:lvlJc w:val="left"/>
    </w:lvl>
  </w:abstractNum>
  <w:abstractNum w:abstractNumId="5">
    <w:nsid w:val="5A4AE223"/>
    <w:multiLevelType w:val="singleLevel"/>
    <w:tmpl w:val="5A4AE223"/>
    <w:lvl w:ilvl="0" w:tentative="0">
      <w:start w:val="1"/>
      <w:numFmt w:val="chineseCounting"/>
      <w:suff w:val="nothing"/>
      <w:lvlText w:val="（%1）"/>
      <w:lvlJc w:val="left"/>
    </w:lvl>
  </w:abstractNum>
  <w:abstractNum w:abstractNumId="6">
    <w:nsid w:val="5A4AEFC1"/>
    <w:multiLevelType w:val="singleLevel"/>
    <w:tmpl w:val="5A4AEFC1"/>
    <w:lvl w:ilvl="0" w:tentative="0">
      <w:start w:val="1"/>
      <w:numFmt w:val="chineseCounting"/>
      <w:suff w:val="nothing"/>
      <w:lvlText w:val="（%1）"/>
      <w:lvlJc w:val="left"/>
    </w:lvl>
  </w:abstractNum>
  <w:abstractNum w:abstractNumId="7">
    <w:nsid w:val="5A57252E"/>
    <w:multiLevelType w:val="singleLevel"/>
    <w:tmpl w:val="5A57252E"/>
    <w:lvl w:ilvl="0" w:tentative="0">
      <w:start w:val="1"/>
      <w:numFmt w:val="chineseCounting"/>
      <w:suff w:val="nothing"/>
      <w:lvlText w:val="（%1）"/>
      <w:lvlJc w:val="left"/>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932E5"/>
    <w:rsid w:val="1619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2020-06-10T07:32:00Z</dcterms:created>
  <dc:creator>桑立强</dc:creator>
  <cp:lastModifiedBy>桑立强</cp:lastModifiedBy>
  <dcterms:modified xsi:type="dcterms:W3CDTF">2020-06-10T07:33:32Z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