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szCs w:val="28"/>
        </w:rPr>
      </w:pPr>
      <w:r>
        <w:rPr>
          <w:rFonts w:hint="eastAsia" w:ascii="仿宋_GB2312" w:eastAsia="仿宋_GB2312"/>
          <w:sz w:val="28"/>
          <w:szCs w:val="28"/>
        </w:rPr>
        <w:t>附件1：</w:t>
      </w:r>
    </w:p>
    <w:p>
      <w:pPr>
        <w:ind w:left="945" w:leftChars="450" w:right="630" w:rightChars="300"/>
        <w:jc w:val="center"/>
        <w:rPr>
          <w:rFonts w:ascii="宋体" w:hAnsi="宋体"/>
          <w:b/>
          <w:kern w:val="0"/>
          <w:sz w:val="32"/>
          <w:szCs w:val="32"/>
        </w:rPr>
      </w:pPr>
      <w:r>
        <w:rPr>
          <w:rFonts w:hint="eastAsia" w:ascii="宋体" w:hAnsi="宋体"/>
          <w:b/>
          <w:kern w:val="0"/>
          <w:sz w:val="32"/>
          <w:szCs w:val="32"/>
        </w:rPr>
        <w:t>2020年智能科技时代下的财务变革与转型暨管理会计实践系列专题培训班工作方案</w:t>
      </w:r>
    </w:p>
    <w:p>
      <w:pPr>
        <w:spacing w:before="156" w:beforeLines="50"/>
        <w:ind w:firstLine="562" w:firstLineChars="200"/>
        <w:rPr>
          <w:rFonts w:ascii="仿宋_GB2312" w:eastAsia="仿宋_GB2312"/>
          <w:b/>
          <w:sz w:val="28"/>
          <w:szCs w:val="28"/>
        </w:rPr>
      </w:pPr>
      <w:r>
        <w:rPr>
          <w:rFonts w:hint="eastAsia" w:ascii="仿宋_GB2312" w:eastAsia="仿宋_GB2312"/>
          <w:b/>
          <w:sz w:val="28"/>
          <w:szCs w:val="28"/>
        </w:rPr>
        <w:t>主管主办单位：</w:t>
      </w:r>
      <w:r>
        <w:rPr>
          <w:rFonts w:hint="eastAsia" w:ascii="仿宋_GB2312" w:eastAsia="仿宋_GB2312"/>
          <w:sz w:val="28"/>
          <w:szCs w:val="28"/>
        </w:rPr>
        <w:t>中国总会计师协会</w:t>
      </w:r>
    </w:p>
    <w:p>
      <w:pPr>
        <w:spacing w:after="156" w:afterLines="50"/>
        <w:ind w:firstLine="562" w:firstLineChars="200"/>
        <w:rPr>
          <w:rFonts w:ascii="仿宋_GB2312" w:eastAsia="仿宋_GB2312"/>
          <w:sz w:val="28"/>
          <w:szCs w:val="28"/>
        </w:rPr>
      </w:pPr>
      <w:r>
        <w:rPr>
          <w:rFonts w:hint="eastAsia" w:ascii="仿宋_GB2312" w:eastAsia="仿宋_GB2312"/>
          <w:b/>
          <w:sz w:val="28"/>
          <w:szCs w:val="28"/>
        </w:rPr>
        <w:t>委托承办单位：</w:t>
      </w:r>
      <w:r>
        <w:rPr>
          <w:rFonts w:hint="eastAsia" w:ascii="仿宋_GB2312" w:eastAsia="仿宋_GB2312"/>
          <w:sz w:val="28"/>
          <w:szCs w:val="28"/>
        </w:rPr>
        <w:t>北京国培创新教育科技股份有限公司（国培机构）</w:t>
      </w:r>
    </w:p>
    <w:p>
      <w:pPr>
        <w:spacing w:before="93" w:beforeLines="30" w:after="93" w:afterLines="30"/>
        <w:ind w:firstLine="522" w:firstLineChars="200"/>
        <w:rPr>
          <w:rFonts w:ascii="黑体" w:eastAsia="黑体"/>
          <w:b/>
          <w:spacing w:val="-10"/>
          <w:sz w:val="28"/>
          <w:szCs w:val="28"/>
        </w:rPr>
      </w:pPr>
      <w:r>
        <w:rPr>
          <w:rFonts w:hint="eastAsia" w:ascii="黑体" w:eastAsia="黑体"/>
          <w:b/>
          <w:spacing w:val="-10"/>
          <w:sz w:val="28"/>
          <w:szCs w:val="28"/>
        </w:rPr>
        <w:t>一、培训专题计划安排</w:t>
      </w:r>
    </w:p>
    <w:p>
      <w:pPr>
        <w:ind w:left="559" w:leftChars="266"/>
        <w:rPr>
          <w:rFonts w:ascii="仿宋_GB2312" w:eastAsia="仿宋_GB2312"/>
          <w:sz w:val="28"/>
          <w:szCs w:val="28"/>
        </w:rPr>
      </w:pPr>
      <w:r>
        <w:rPr>
          <w:rFonts w:hint="eastAsia" w:ascii="仿宋_GB2312" w:eastAsia="仿宋_GB2312"/>
          <w:sz w:val="28"/>
          <w:szCs w:val="28"/>
        </w:rPr>
        <w:t>专题一：公司财务战略管理与商业模式创新专题</w:t>
      </w:r>
      <w:r>
        <w:rPr>
          <w:rFonts w:hint="eastAsia" w:ascii="仿宋_GB2312" w:eastAsia="仿宋_GB2312"/>
          <w:sz w:val="28"/>
          <w:szCs w:val="28"/>
        </w:rPr>
        <w:br w:type="textWrapping"/>
      </w:r>
      <w:r>
        <w:rPr>
          <w:rFonts w:hint="eastAsia" w:ascii="仿宋_GB2312" w:eastAsia="仿宋_GB2312"/>
          <w:sz w:val="28"/>
          <w:szCs w:val="28"/>
        </w:rPr>
        <w:t>专题二：业财融合与管理会计价值创造-管理会计落地专题</w:t>
      </w:r>
    </w:p>
    <w:p>
      <w:pPr>
        <w:ind w:left="559" w:leftChars="266"/>
        <w:rPr>
          <w:rFonts w:ascii="仿宋_GB2312" w:eastAsia="仿宋_GB2312"/>
          <w:sz w:val="28"/>
          <w:szCs w:val="28"/>
        </w:rPr>
      </w:pPr>
      <w:r>
        <w:rPr>
          <w:rFonts w:hint="eastAsia" w:ascii="仿宋_GB2312" w:eastAsia="仿宋_GB2312"/>
          <w:sz w:val="28"/>
          <w:szCs w:val="28"/>
        </w:rPr>
        <w:t>专题三：大数据、区块链在财务领域的应用专题</w:t>
      </w:r>
    </w:p>
    <w:p>
      <w:pPr>
        <w:ind w:left="559" w:leftChars="266"/>
        <w:rPr>
          <w:rFonts w:ascii="仿宋_GB2312" w:eastAsia="仿宋_GB2312"/>
          <w:sz w:val="28"/>
          <w:szCs w:val="28"/>
        </w:rPr>
      </w:pPr>
      <w:r>
        <w:rPr>
          <w:rFonts w:hint="eastAsia" w:ascii="仿宋_GB2312" w:eastAsia="仿宋_GB2312"/>
          <w:sz w:val="28"/>
          <w:szCs w:val="28"/>
        </w:rPr>
        <w:t>专题</w:t>
      </w:r>
      <w:r>
        <w:rPr>
          <w:rFonts w:hint="eastAsia" w:eastAsia="仿宋_GB2312" w:asciiTheme="minorHAnsi" w:hAnsiTheme="minorHAnsi"/>
          <w:sz w:val="28"/>
          <w:szCs w:val="28"/>
        </w:rPr>
        <w:t>四</w:t>
      </w:r>
      <w:r>
        <w:rPr>
          <w:rFonts w:hint="eastAsia" w:ascii="仿宋_GB2312" w:eastAsia="仿宋_GB2312"/>
          <w:sz w:val="28"/>
          <w:szCs w:val="28"/>
        </w:rPr>
        <w:t>：财务共享中心的运营与优化和人工智能技术应用专题</w:t>
      </w:r>
    </w:p>
    <w:p>
      <w:pPr>
        <w:ind w:left="559" w:leftChars="266"/>
        <w:rPr>
          <w:rFonts w:ascii="仿宋_GB2312" w:eastAsia="仿宋_GB2312"/>
          <w:sz w:val="28"/>
          <w:szCs w:val="28"/>
        </w:rPr>
      </w:pPr>
      <w:r>
        <w:rPr>
          <w:rFonts w:hint="eastAsia" w:ascii="仿宋_GB2312" w:eastAsia="仿宋_GB2312"/>
          <w:sz w:val="28"/>
          <w:szCs w:val="28"/>
        </w:rPr>
        <w:t>专题五：国企混合所有制改革与资产重组专题</w:t>
      </w:r>
    </w:p>
    <w:p>
      <w:pPr>
        <w:ind w:left="559" w:leftChars="266"/>
        <w:rPr>
          <w:rFonts w:ascii="仿宋_GB2312" w:eastAsia="仿宋_GB2312"/>
          <w:sz w:val="28"/>
          <w:szCs w:val="28"/>
        </w:rPr>
      </w:pPr>
      <w:r>
        <w:rPr>
          <w:rFonts w:hint="eastAsia" w:ascii="仿宋_GB2312" w:eastAsia="仿宋_GB2312"/>
          <w:sz w:val="28"/>
          <w:szCs w:val="28"/>
        </w:rPr>
        <w:t>专题六：企业投融资策略与资本运营专题</w:t>
      </w:r>
    </w:p>
    <w:p>
      <w:pPr>
        <w:ind w:left="559" w:leftChars="266"/>
        <w:rPr>
          <w:rFonts w:ascii="仿宋_GB2312" w:eastAsia="仿宋_GB2312"/>
          <w:sz w:val="28"/>
          <w:szCs w:val="28"/>
        </w:rPr>
      </w:pPr>
      <w:r>
        <w:rPr>
          <w:rFonts w:hint="eastAsia" w:ascii="仿宋_GB2312" w:eastAsia="仿宋_GB2312"/>
          <w:sz w:val="28"/>
          <w:szCs w:val="28"/>
        </w:rPr>
        <w:t>专题七：国资委最新内控意见解读与内控合规体系实践专题</w:t>
      </w:r>
    </w:p>
    <w:p>
      <w:pPr>
        <w:ind w:left="559" w:leftChars="266"/>
        <w:rPr>
          <w:rFonts w:ascii="仿宋_GB2312" w:eastAsia="仿宋_GB2312"/>
          <w:sz w:val="28"/>
          <w:szCs w:val="28"/>
        </w:rPr>
      </w:pPr>
      <w:r>
        <w:rPr>
          <w:rFonts w:hint="eastAsia" w:ascii="仿宋_GB2312" w:eastAsia="仿宋_GB2312"/>
          <w:sz w:val="28"/>
          <w:szCs w:val="28"/>
        </w:rPr>
        <w:t>专题八：全面预算管理的难点与案例分析专题</w:t>
      </w:r>
    </w:p>
    <w:p>
      <w:pPr>
        <w:ind w:left="559" w:leftChars="266"/>
        <w:rPr>
          <w:rFonts w:ascii="仿宋_GB2312" w:eastAsia="仿宋_GB2312"/>
          <w:sz w:val="28"/>
          <w:szCs w:val="28"/>
        </w:rPr>
      </w:pPr>
      <w:r>
        <w:rPr>
          <w:rFonts w:hint="eastAsia" w:ascii="仿宋_GB2312" w:eastAsia="仿宋_GB2312"/>
          <w:sz w:val="28"/>
          <w:szCs w:val="28"/>
        </w:rPr>
        <w:t>专题九：企业成本管理与供应链成本管控专题</w:t>
      </w:r>
    </w:p>
    <w:p>
      <w:pPr>
        <w:ind w:left="559" w:leftChars="266"/>
        <w:rPr>
          <w:rFonts w:ascii="仿宋_GB2312" w:eastAsia="仿宋_GB2312"/>
          <w:sz w:val="28"/>
          <w:szCs w:val="28"/>
        </w:rPr>
      </w:pPr>
      <w:r>
        <w:rPr>
          <w:rFonts w:hint="eastAsia" w:ascii="仿宋_GB2312" w:eastAsia="仿宋_GB2312"/>
          <w:sz w:val="28"/>
          <w:szCs w:val="28"/>
        </w:rPr>
        <w:t>专题十:大数据时代的财务报表分析和新准则下报表格式变动案例解读专题</w:t>
      </w:r>
    </w:p>
    <w:p>
      <w:pPr>
        <w:ind w:left="559" w:leftChars="266"/>
        <w:rPr>
          <w:rFonts w:ascii="仿宋_GB2312" w:eastAsia="仿宋_GB2312"/>
          <w:sz w:val="28"/>
          <w:szCs w:val="28"/>
        </w:rPr>
      </w:pPr>
      <w:r>
        <w:rPr>
          <w:rFonts w:hint="eastAsia" w:ascii="仿宋_GB2312" w:eastAsia="仿宋_GB2312"/>
          <w:sz w:val="28"/>
          <w:szCs w:val="28"/>
        </w:rPr>
        <w:t>专题十一：企业会计准则新变化与收入准则实施难点专题</w:t>
      </w:r>
    </w:p>
    <w:p>
      <w:pPr>
        <w:ind w:left="559" w:leftChars="266"/>
        <w:rPr>
          <w:rFonts w:ascii="仿宋_GB2312" w:eastAsia="仿宋_GB2312"/>
          <w:sz w:val="28"/>
          <w:szCs w:val="28"/>
        </w:rPr>
      </w:pPr>
      <w:r>
        <w:rPr>
          <w:rFonts w:hint="eastAsia" w:ascii="仿宋_GB2312" w:eastAsia="仿宋_GB2312"/>
          <w:sz w:val="28"/>
          <w:szCs w:val="28"/>
        </w:rPr>
        <w:t>专题十二：2020年税收政策和税收征管变化背景下企业税收风险管理专题</w:t>
      </w:r>
    </w:p>
    <w:p>
      <w:pPr>
        <w:rPr>
          <w:rFonts w:ascii="宋体" w:hAnsi="宋体"/>
          <w:b/>
          <w:sz w:val="32"/>
          <w:szCs w:val="32"/>
        </w:rPr>
      </w:pPr>
    </w:p>
    <w:p>
      <w:pPr>
        <w:rPr>
          <w:rFonts w:ascii="宋体" w:hAnsi="宋体"/>
          <w:b/>
          <w:sz w:val="32"/>
          <w:szCs w:val="32"/>
        </w:rPr>
      </w:pPr>
    </w:p>
    <w:p>
      <w:pPr>
        <w:jc w:val="center"/>
        <w:rPr>
          <w:rFonts w:ascii="宋体" w:hAnsi="宋体"/>
          <w:b/>
          <w:sz w:val="32"/>
          <w:szCs w:val="32"/>
        </w:rPr>
      </w:pPr>
      <w:r>
        <w:rPr>
          <w:rFonts w:hint="eastAsia" w:ascii="宋体" w:hAnsi="宋体"/>
          <w:b/>
          <w:sz w:val="32"/>
          <w:szCs w:val="32"/>
        </w:rPr>
        <w:t>2020年智能科技时代下的财务变革与转型暨管理会计实践系列专题培训班计划安排列表</w:t>
      </w:r>
    </w:p>
    <w:tbl>
      <w:tblPr>
        <w:tblStyle w:val="2"/>
        <w:tblW w:w="7397" w:type="dxa"/>
        <w:jc w:val="center"/>
        <w:tblLayout w:type="fixed"/>
        <w:tblCellMar>
          <w:top w:w="0" w:type="dxa"/>
          <w:left w:w="108" w:type="dxa"/>
          <w:bottom w:w="0" w:type="dxa"/>
          <w:right w:w="108" w:type="dxa"/>
        </w:tblCellMar>
      </w:tblPr>
      <w:tblGrid>
        <w:gridCol w:w="3176"/>
        <w:gridCol w:w="1560"/>
        <w:gridCol w:w="2661"/>
      </w:tblGrid>
      <w:tr>
        <w:tblPrEx>
          <w:tblCellMar>
            <w:top w:w="0" w:type="dxa"/>
            <w:left w:w="108" w:type="dxa"/>
            <w:bottom w:w="0" w:type="dxa"/>
            <w:right w:w="108" w:type="dxa"/>
          </w:tblCellMar>
        </w:tblPrEx>
        <w:trPr>
          <w:trHeight w:val="567" w:hRule="exact"/>
          <w:jc w:val="center"/>
        </w:trPr>
        <w:tc>
          <w:tcPr>
            <w:tcW w:w="3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具体时间</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地点</w:t>
            </w:r>
          </w:p>
        </w:tc>
        <w:tc>
          <w:tcPr>
            <w:tcW w:w="266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bCs/>
                <w:color w:val="000000"/>
                <w:kern w:val="0"/>
                <w:sz w:val="24"/>
              </w:rPr>
            </w:pPr>
            <w:r>
              <w:rPr>
                <w:rFonts w:hint="eastAsia" w:ascii="仿宋_GB2312" w:eastAsia="仿宋_GB2312" w:cs="宋体" w:hAnsiTheme="minorEastAsia"/>
                <w:bCs/>
                <w:color w:val="000000"/>
                <w:kern w:val="0"/>
                <w:sz w:val="24"/>
              </w:rPr>
              <w:t>专题</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7月14日-20日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青岛</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专题六、十一、十二</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7月21日-27日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贵阳</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专题一、二、十一</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 4 日-10日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桂林</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专题五、七、八</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8月11日-17日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大连</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w:t>
            </w:r>
            <w:r>
              <w:rPr>
                <w:rFonts w:hint="eastAsia" w:eastAsia="仿宋_GB2312" w:cs="宋体" w:asciiTheme="minorHAnsi" w:hAnsiTheme="minorHAnsi"/>
                <w:kern w:val="0"/>
                <w:sz w:val="24"/>
              </w:rPr>
              <w:t>三</w:t>
            </w:r>
            <w:r>
              <w:rPr>
                <w:rFonts w:hint="eastAsia" w:ascii="仿宋_GB2312" w:eastAsia="仿宋_GB2312" w:cs="宋体" w:hAnsiTheme="minorEastAsia"/>
                <w:kern w:val="0"/>
                <w:sz w:val="24"/>
              </w:rPr>
              <w:t>、四、十</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8月18日-24日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昆明</w:t>
            </w:r>
          </w:p>
        </w:tc>
        <w:tc>
          <w:tcPr>
            <w:tcW w:w="2661" w:type="dxa"/>
            <w:tcBorders>
              <w:top w:val="nil"/>
              <w:left w:val="nil"/>
              <w:bottom w:val="single" w:color="auto" w:sz="4" w:space="0"/>
              <w:right w:val="single" w:color="auto" w:sz="4" w:space="0"/>
            </w:tcBorders>
            <w:vAlign w:val="center"/>
          </w:tcPr>
          <w:p>
            <w:pPr>
              <w:widowControl/>
              <w:jc w:val="center"/>
              <w:rPr>
                <w:rFonts w:eastAsia="仿宋_GB2312" w:cs="宋体" w:asciiTheme="minorHAnsi" w:hAnsiTheme="minorHAnsi"/>
                <w:kern w:val="0"/>
                <w:sz w:val="24"/>
              </w:rPr>
            </w:pPr>
            <w:r>
              <w:rPr>
                <w:rFonts w:hint="eastAsia" w:eastAsia="仿宋_GB2312" w:cs="宋体" w:asciiTheme="minorHAnsi" w:hAnsiTheme="minorHAnsi"/>
                <w:kern w:val="0"/>
                <w:sz w:val="24"/>
              </w:rPr>
              <w:t>专题五、十、十二</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 8 日-14日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成都</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专题七、八、九</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9月15日-21日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乌鲁木齐</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专题六、十一、十二</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9月22日-28日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南京</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专题一、二、十一</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10月13日-19日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重庆</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专题五、七、八</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10月20日-26日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厦门</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w:t>
            </w:r>
            <w:r>
              <w:rPr>
                <w:rFonts w:hint="eastAsia" w:eastAsia="仿宋_GB2312" w:cs="宋体" w:asciiTheme="minorHAnsi" w:hAnsiTheme="minorHAnsi"/>
                <w:kern w:val="0"/>
                <w:sz w:val="24"/>
              </w:rPr>
              <w:t>三</w:t>
            </w:r>
            <w:r>
              <w:rPr>
                <w:rFonts w:hint="eastAsia" w:ascii="仿宋_GB2312" w:eastAsia="仿宋_GB2312" w:cs="宋体" w:hAnsiTheme="minorEastAsia"/>
                <w:kern w:val="0"/>
                <w:sz w:val="24"/>
              </w:rPr>
              <w:t>、四、十</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 3 日- 9日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昆明</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专题一、八、九</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11月10日-16日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上海</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专题五、六、七</w:t>
            </w:r>
          </w:p>
        </w:tc>
      </w:tr>
      <w:tr>
        <w:tblPrEx>
          <w:tblCellMar>
            <w:top w:w="0" w:type="dxa"/>
            <w:left w:w="108" w:type="dxa"/>
            <w:bottom w:w="0" w:type="dxa"/>
            <w:right w:w="108" w:type="dxa"/>
          </w:tblCellMar>
        </w:tblPrEx>
        <w:trPr>
          <w:trHeight w:val="454" w:hRule="exact"/>
          <w:jc w:val="center"/>
        </w:trPr>
        <w:tc>
          <w:tcPr>
            <w:tcW w:w="3176"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12月 8 日-14日</w:t>
            </w:r>
          </w:p>
        </w:tc>
        <w:tc>
          <w:tcPr>
            <w:tcW w:w="1560"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南宁</w:t>
            </w:r>
          </w:p>
        </w:tc>
        <w:tc>
          <w:tcPr>
            <w:tcW w:w="2661" w:type="dxa"/>
            <w:tcBorders>
              <w:top w:val="nil"/>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专题二、十一、十二</w:t>
            </w:r>
          </w:p>
        </w:tc>
      </w:tr>
      <w:tr>
        <w:tblPrEx>
          <w:tblCellMar>
            <w:top w:w="0" w:type="dxa"/>
            <w:left w:w="108" w:type="dxa"/>
            <w:bottom w:w="0" w:type="dxa"/>
            <w:right w:w="108" w:type="dxa"/>
          </w:tblCellMar>
        </w:tblPrEx>
        <w:trPr>
          <w:trHeight w:val="454" w:hRule="exact"/>
          <w:jc w:val="center"/>
        </w:trPr>
        <w:tc>
          <w:tcPr>
            <w:tcW w:w="317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12月15日-21日</w:t>
            </w:r>
          </w:p>
        </w:tc>
        <w:tc>
          <w:tcPr>
            <w:tcW w:w="156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ascii="仿宋_GB2312" w:eastAsia="仿宋_GB2312" w:cs="宋体" w:hAnsiTheme="minorEastAsia"/>
                <w:kern w:val="0"/>
                <w:sz w:val="24"/>
              </w:rPr>
              <w:t>重庆</w:t>
            </w:r>
          </w:p>
        </w:tc>
        <w:tc>
          <w:tcPr>
            <w:tcW w:w="2661"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hAnsiTheme="minorEastAsia"/>
                <w:kern w:val="0"/>
                <w:sz w:val="24"/>
              </w:rPr>
            </w:pPr>
            <w:r>
              <w:rPr>
                <w:rFonts w:hint="eastAsia" w:eastAsia="仿宋_GB2312" w:cs="宋体" w:asciiTheme="minorHAnsi" w:hAnsiTheme="minorHAnsi"/>
                <w:kern w:val="0"/>
                <w:sz w:val="24"/>
              </w:rPr>
              <w:t>专题八、十、十一</w:t>
            </w:r>
          </w:p>
        </w:tc>
      </w:tr>
    </w:tbl>
    <w:p>
      <w:pPr>
        <w:tabs>
          <w:tab w:val="left" w:pos="1620"/>
          <w:tab w:val="left" w:pos="1800"/>
        </w:tabs>
        <w:spacing w:before="156" w:beforeLines="50" w:line="520" w:lineRule="exact"/>
        <w:jc w:val="left"/>
        <w:rPr>
          <w:rFonts w:ascii="仿宋_GB2312" w:eastAsia="仿宋_GB2312"/>
          <w:sz w:val="28"/>
          <w:szCs w:val="28"/>
        </w:rPr>
      </w:pPr>
      <w:r>
        <w:rPr>
          <w:rFonts w:hint="eastAsia" w:ascii="仿宋_GB2312" w:eastAsia="仿宋_GB2312"/>
          <w:b/>
          <w:sz w:val="28"/>
          <w:szCs w:val="28"/>
        </w:rPr>
        <w:t>注：</w:t>
      </w:r>
      <w:r>
        <w:rPr>
          <w:rFonts w:hint="eastAsia" w:ascii="仿宋_GB2312" w:eastAsia="仿宋_GB2312"/>
          <w:sz w:val="28"/>
          <w:szCs w:val="28"/>
        </w:rPr>
        <w:t>1、各专题详细方案电子版，请登录中国总会计师协会网站和国培财经网站下载；或直接联系我们，联系电话：010-</w:t>
      </w:r>
      <w:r>
        <w:rPr>
          <w:rFonts w:ascii="仿宋_GB2312" w:eastAsia="仿宋_GB2312"/>
          <w:sz w:val="28"/>
          <w:szCs w:val="28"/>
        </w:rPr>
        <w:t>53771881</w:t>
      </w:r>
      <w:r>
        <w:rPr>
          <w:rFonts w:hint="eastAsia" w:ascii="仿宋_GB2312" w:eastAsia="仿宋_GB2312"/>
          <w:sz w:val="28"/>
          <w:szCs w:val="28"/>
        </w:rPr>
        <w:t>、</w:t>
      </w:r>
      <w:r>
        <w:rPr>
          <w:rFonts w:ascii="仿宋_GB2312" w:eastAsia="仿宋_GB2312"/>
          <w:sz w:val="28"/>
          <w:szCs w:val="28"/>
        </w:rPr>
        <w:t>5377188</w:t>
      </w:r>
      <w:r>
        <w:rPr>
          <w:rFonts w:hint="eastAsia" w:ascii="仿宋_GB2312" w:eastAsia="仿宋_GB2312"/>
          <w:sz w:val="28"/>
          <w:szCs w:val="28"/>
        </w:rPr>
        <w:t>2。</w:t>
      </w:r>
    </w:p>
    <w:p>
      <w:pPr>
        <w:tabs>
          <w:tab w:val="left" w:pos="1620"/>
          <w:tab w:val="left" w:pos="1800"/>
        </w:tabs>
        <w:spacing w:line="520" w:lineRule="exact"/>
        <w:ind w:firstLine="548" w:firstLineChars="196"/>
        <w:jc w:val="left"/>
        <w:rPr>
          <w:rFonts w:ascii="仿宋_GB2312" w:eastAsia="仿宋_GB2312"/>
          <w:sz w:val="28"/>
          <w:szCs w:val="28"/>
        </w:rPr>
      </w:pPr>
      <w:r>
        <w:rPr>
          <w:rFonts w:hint="eastAsia" w:ascii="仿宋_GB2312" w:eastAsia="仿宋_GB2312"/>
          <w:sz w:val="28"/>
          <w:szCs w:val="28"/>
        </w:rPr>
        <w:t>2、欢迎各会员单位和有关单位选择相关专题组织内训，我们将根据需求认真筹划、规范组织；烦请提前与我们联系，以预作准备。</w:t>
      </w:r>
    </w:p>
    <w:p>
      <w:pPr>
        <w:tabs>
          <w:tab w:val="left" w:pos="1620"/>
          <w:tab w:val="left" w:pos="1800"/>
        </w:tabs>
        <w:spacing w:line="520" w:lineRule="exact"/>
        <w:ind w:firstLine="548" w:firstLineChars="196"/>
        <w:jc w:val="left"/>
        <w:rPr>
          <w:rFonts w:ascii="仿宋_GB2312" w:eastAsia="仿宋_GB2312"/>
          <w:sz w:val="28"/>
          <w:szCs w:val="28"/>
        </w:rPr>
      </w:pPr>
      <w:r>
        <w:rPr>
          <w:rFonts w:hint="eastAsia" w:ascii="仿宋_GB2312" w:eastAsia="仿宋_GB2312"/>
          <w:sz w:val="28"/>
          <w:szCs w:val="28"/>
        </w:rPr>
        <w:t>3、培训班具体地点，在开班一周前随《报到通知》告知。</w:t>
      </w:r>
    </w:p>
    <w:p>
      <w:pPr>
        <w:spacing w:before="93" w:beforeLines="30" w:after="93" w:afterLines="30" w:line="520" w:lineRule="exact"/>
        <w:ind w:firstLine="522" w:firstLineChars="200"/>
        <w:rPr>
          <w:rFonts w:ascii="黑体" w:eastAsia="黑体"/>
          <w:b/>
          <w:spacing w:val="-10"/>
          <w:sz w:val="28"/>
          <w:szCs w:val="28"/>
        </w:rPr>
      </w:pPr>
      <w:r>
        <w:rPr>
          <w:rFonts w:hint="eastAsia" w:ascii="黑体" w:eastAsia="黑体"/>
          <w:b/>
          <w:spacing w:val="-10"/>
          <w:sz w:val="28"/>
          <w:szCs w:val="28"/>
        </w:rPr>
        <w:t>二、培训对象</w:t>
      </w:r>
    </w:p>
    <w:p>
      <w:pPr>
        <w:spacing w:line="520" w:lineRule="exact"/>
        <w:ind w:firstLine="528" w:firstLineChars="200"/>
        <w:rPr>
          <w:rFonts w:ascii="仿宋_GB2312" w:eastAsia="仿宋_GB2312"/>
          <w:spacing w:val="-8"/>
          <w:sz w:val="28"/>
          <w:szCs w:val="28"/>
        </w:rPr>
      </w:pPr>
      <w:r>
        <w:rPr>
          <w:rFonts w:hint="eastAsia" w:ascii="仿宋_GB2312" w:eastAsia="仿宋_GB2312"/>
          <w:spacing w:val="-8"/>
          <w:sz w:val="28"/>
          <w:szCs w:val="28"/>
        </w:rPr>
        <w:t>中国总会计师协会会员，上市公司、国有企业、民营企业的董事会成员、监事会成员、总会计师、首席财务官、财务总监，财务经理、投资经理、财务主管、税务主管等高、中层财务管理人员及其后备人员；各行政事业单位、社会组织相关领导和主管部门负责人等。</w:t>
      </w:r>
    </w:p>
    <w:p>
      <w:pPr>
        <w:tabs>
          <w:tab w:val="left" w:pos="2850"/>
        </w:tabs>
        <w:spacing w:before="93" w:beforeLines="30" w:after="93" w:afterLines="30" w:line="520" w:lineRule="exact"/>
        <w:ind w:firstLine="522" w:firstLineChars="200"/>
        <w:rPr>
          <w:rFonts w:ascii="黑体" w:eastAsia="黑体"/>
          <w:b/>
          <w:color w:val="FF0000"/>
          <w:spacing w:val="-10"/>
          <w:sz w:val="28"/>
          <w:szCs w:val="28"/>
        </w:rPr>
      </w:pPr>
      <w:r>
        <w:rPr>
          <w:rFonts w:hint="eastAsia" w:ascii="黑体" w:eastAsia="黑体"/>
          <w:b/>
          <w:spacing w:val="-10"/>
          <w:sz w:val="28"/>
          <w:szCs w:val="28"/>
        </w:rPr>
        <w:t>三、师资力量</w:t>
      </w:r>
    </w:p>
    <w:p>
      <w:pPr>
        <w:spacing w:before="93" w:beforeLines="30" w:after="93" w:afterLines="30" w:line="520" w:lineRule="exact"/>
        <w:ind w:firstLine="560" w:firstLineChars="200"/>
        <w:rPr>
          <w:rFonts w:ascii="仿宋_GB2312" w:eastAsia="仿宋_GB2312"/>
          <w:sz w:val="28"/>
          <w:szCs w:val="28"/>
        </w:rPr>
      </w:pPr>
      <w:r>
        <w:rPr>
          <w:rFonts w:hint="eastAsia" w:ascii="仿宋_GB2312" w:eastAsia="仿宋_GB2312"/>
          <w:sz w:val="28"/>
          <w:szCs w:val="28"/>
        </w:rPr>
        <w:t>财政部管理会计咨询专家，跨国公司、上市公司中实战经验丰富的总会计师、首席财务官等，中国财政科学研究院、国家会计学院、财经高等院校的权威专家和全国会计领军人才等。</w:t>
      </w:r>
    </w:p>
    <w:p>
      <w:pPr>
        <w:spacing w:before="93" w:beforeLines="30" w:after="93" w:afterLines="30" w:line="520" w:lineRule="exact"/>
        <w:ind w:firstLine="520" w:firstLineChars="199"/>
        <w:rPr>
          <w:rFonts w:ascii="黑体" w:eastAsia="黑体"/>
          <w:b/>
          <w:spacing w:val="-10"/>
          <w:sz w:val="28"/>
          <w:szCs w:val="28"/>
        </w:rPr>
      </w:pPr>
      <w:r>
        <w:rPr>
          <w:rFonts w:hint="eastAsia" w:ascii="黑体" w:eastAsia="黑体"/>
          <w:b/>
          <w:spacing w:val="-10"/>
          <w:sz w:val="28"/>
          <w:szCs w:val="28"/>
        </w:rPr>
        <w:t>四、培训费用</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专题培训班费用为每人每期3,200元；食宿统一安排，费用另计；往返交通及费用，请参训单位自行办理和支付。</w:t>
      </w:r>
    </w:p>
    <w:p>
      <w:pPr>
        <w:spacing w:before="93" w:beforeLines="30" w:after="93" w:afterLines="30" w:line="520" w:lineRule="exact"/>
        <w:ind w:firstLine="522" w:firstLineChars="200"/>
        <w:rPr>
          <w:rFonts w:ascii="黑体" w:eastAsia="黑体"/>
          <w:b/>
          <w:spacing w:val="-10"/>
          <w:sz w:val="28"/>
          <w:szCs w:val="28"/>
        </w:rPr>
      </w:pPr>
      <w:r>
        <w:rPr>
          <w:rFonts w:hint="eastAsia" w:ascii="黑体" w:eastAsia="黑体"/>
          <w:b/>
          <w:spacing w:val="-10"/>
          <w:sz w:val="28"/>
          <w:szCs w:val="28"/>
        </w:rPr>
        <w:t>五、参训办法</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各单位可汇总本系统的参训人员填写报名表，传真至会务组（010-53771882、53771881）或发送电子邮件（会务组E-mail：cacfo@139.com；培训部E-mail：peixun@cacfo.com）。参训人员可提前将培训费用汇入指定银行账号；并于每期培训班开班前十天，将银行汇款凭证传真至会务组，以便确认安排具体事宜。会务组将于每期培训班开班前七天通知参训人员报到的详细地点、乘车路线及有关事项。</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本《通知》文件信息发布见中国总会计师协会网站www.cacfo.com和国培财经网站www.guopeicaijing.com、国培财经微信公众号。</w:t>
      </w:r>
    </w:p>
    <w:p>
      <w:pPr>
        <w:spacing w:line="520" w:lineRule="exact"/>
        <w:ind w:firstLine="551" w:firstLineChars="196"/>
        <w:rPr>
          <w:rFonts w:ascii="仿宋_GB2312" w:hAnsi="宋体" w:eastAsia="仿宋_GB2312"/>
          <w:bCs/>
          <w:sz w:val="28"/>
          <w:szCs w:val="28"/>
        </w:rPr>
      </w:pPr>
      <w:r>
        <w:rPr>
          <w:rFonts w:hint="eastAsia" w:ascii="仿宋_GB2312" w:eastAsia="仿宋_GB2312"/>
          <w:b/>
          <w:sz w:val="28"/>
          <w:szCs w:val="28"/>
        </w:rPr>
        <w:t xml:space="preserve">汇款方式: </w:t>
      </w:r>
      <w:r>
        <w:rPr>
          <w:rFonts w:hint="eastAsia" w:ascii="仿宋_GB2312" w:hAnsi="宋体" w:eastAsia="仿宋_GB2312"/>
          <w:bCs/>
          <w:sz w:val="28"/>
          <w:szCs w:val="28"/>
        </w:rPr>
        <w:t>户  名：北京国培创新教育科技股份有限公司</w:t>
      </w:r>
    </w:p>
    <w:p>
      <w:pPr>
        <w:spacing w:line="520" w:lineRule="exact"/>
        <w:ind w:firstLine="1960" w:firstLineChars="700"/>
        <w:rPr>
          <w:rFonts w:ascii="仿宋_GB2312" w:hAnsi="宋体" w:eastAsia="仿宋_GB2312"/>
          <w:bCs/>
          <w:sz w:val="28"/>
          <w:szCs w:val="28"/>
        </w:rPr>
      </w:pPr>
      <w:r>
        <w:rPr>
          <w:rFonts w:hint="eastAsia" w:ascii="仿宋_GB2312" w:hAnsi="宋体" w:eastAsia="仿宋_GB2312"/>
          <w:bCs/>
          <w:sz w:val="28"/>
          <w:szCs w:val="28"/>
        </w:rPr>
        <w:t>开户行：中国工商银行海淀支行营业部</w:t>
      </w:r>
    </w:p>
    <w:p>
      <w:pPr>
        <w:spacing w:line="520" w:lineRule="exact"/>
        <w:ind w:firstLine="1960" w:firstLineChars="700"/>
        <w:rPr>
          <w:rFonts w:ascii="仿宋_GB2312" w:hAnsi="宋体" w:eastAsia="仿宋_GB2312"/>
          <w:bCs/>
          <w:spacing w:val="6"/>
          <w:sz w:val="28"/>
          <w:szCs w:val="28"/>
        </w:rPr>
      </w:pPr>
      <w:r>
        <w:rPr>
          <w:rFonts w:hint="eastAsia" w:ascii="仿宋_GB2312" w:hAnsi="宋体" w:eastAsia="仿宋_GB2312"/>
          <w:bCs/>
          <w:sz w:val="28"/>
          <w:szCs w:val="28"/>
        </w:rPr>
        <w:t>帐  号：</w:t>
      </w:r>
      <w:r>
        <w:rPr>
          <w:rFonts w:ascii="仿宋_GB2312" w:hAnsi="宋体" w:eastAsia="仿宋_GB2312"/>
          <w:bCs/>
          <w:spacing w:val="6"/>
          <w:sz w:val="28"/>
          <w:szCs w:val="28"/>
        </w:rPr>
        <w:t>0200151609100016356</w:t>
      </w:r>
    </w:p>
    <w:p>
      <w:pPr>
        <w:spacing w:before="93" w:beforeLines="30" w:after="93" w:afterLines="30" w:line="520" w:lineRule="exact"/>
        <w:ind w:firstLine="522" w:firstLineChars="200"/>
        <w:rPr>
          <w:rFonts w:ascii="黑体" w:eastAsia="黑体"/>
          <w:b/>
          <w:spacing w:val="-10"/>
          <w:sz w:val="28"/>
          <w:szCs w:val="28"/>
        </w:rPr>
      </w:pPr>
      <w:r>
        <w:rPr>
          <w:rFonts w:hint="eastAsia" w:ascii="黑体" w:eastAsia="黑体"/>
          <w:b/>
          <w:spacing w:val="-10"/>
          <w:sz w:val="28"/>
          <w:szCs w:val="28"/>
        </w:rPr>
        <w:t>六、培训证书</w:t>
      </w:r>
    </w:p>
    <w:p>
      <w:pPr>
        <w:spacing w:line="520" w:lineRule="exact"/>
        <w:ind w:firstLine="560" w:firstLineChars="200"/>
        <w:rPr>
          <w:rFonts w:ascii="仿宋_GB2312" w:eastAsia="仿宋_GB2312"/>
          <w:sz w:val="28"/>
          <w:szCs w:val="28"/>
        </w:rPr>
      </w:pPr>
      <w:r>
        <w:rPr>
          <w:rFonts w:hint="eastAsia" w:ascii="仿宋_GB2312" w:eastAsia="仿宋_GB2312"/>
          <w:sz w:val="28"/>
          <w:szCs w:val="28"/>
        </w:rPr>
        <w:t>培训班学习期满，</w:t>
      </w:r>
      <w:r>
        <w:rPr>
          <w:rFonts w:hint="eastAsia" w:ascii="仿宋_GB2312" w:hAnsi="宋体" w:eastAsia="仿宋_GB2312"/>
          <w:sz w:val="28"/>
          <w:szCs w:val="28"/>
        </w:rPr>
        <w:t>颁发中国总会计师协会《培训结业证书》。</w:t>
      </w:r>
    </w:p>
    <w:p>
      <w:pPr>
        <w:spacing w:before="93" w:beforeLines="30" w:after="93" w:afterLines="30" w:line="520" w:lineRule="exact"/>
        <w:ind w:firstLine="522" w:firstLineChars="200"/>
        <w:rPr>
          <w:rFonts w:ascii="黑体" w:eastAsia="黑体"/>
          <w:b/>
          <w:spacing w:val="-10"/>
          <w:sz w:val="28"/>
          <w:szCs w:val="28"/>
        </w:rPr>
      </w:pPr>
      <w:r>
        <w:rPr>
          <w:rFonts w:hint="eastAsia" w:ascii="黑体" w:eastAsia="黑体"/>
          <w:b/>
          <w:spacing w:val="-10"/>
          <w:sz w:val="28"/>
          <w:szCs w:val="28"/>
        </w:rPr>
        <w:t>七、联系方式</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咨询电话：010-</w:t>
      </w:r>
      <w:r>
        <w:rPr>
          <w:rFonts w:ascii="仿宋_GB2312" w:eastAsia="仿宋_GB2312"/>
          <w:sz w:val="28"/>
          <w:szCs w:val="28"/>
        </w:rPr>
        <w:t>53771881</w:t>
      </w:r>
      <w:r>
        <w:rPr>
          <w:rFonts w:hint="eastAsia" w:ascii="仿宋_GB2312" w:eastAsia="仿宋_GB2312"/>
          <w:sz w:val="28"/>
          <w:szCs w:val="28"/>
        </w:rPr>
        <w:t>、</w:t>
      </w:r>
      <w:r>
        <w:rPr>
          <w:rFonts w:ascii="仿宋_GB2312" w:eastAsia="仿宋_GB2312"/>
          <w:sz w:val="28"/>
          <w:szCs w:val="28"/>
        </w:rPr>
        <w:t>5377188</w:t>
      </w:r>
      <w:r>
        <w:rPr>
          <w:rFonts w:hint="eastAsia" w:ascii="仿宋_GB2312" w:eastAsia="仿宋_GB2312"/>
          <w:sz w:val="28"/>
          <w:szCs w:val="28"/>
        </w:rPr>
        <w:t>2， 88191832（中总协培训部）</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报名传真：010-</w:t>
      </w:r>
      <w:r>
        <w:rPr>
          <w:rFonts w:ascii="仿宋_GB2312" w:eastAsia="仿宋_GB2312"/>
          <w:sz w:val="28"/>
          <w:szCs w:val="28"/>
        </w:rPr>
        <w:t>5377188</w:t>
      </w:r>
      <w:r>
        <w:rPr>
          <w:rFonts w:hint="eastAsia" w:ascii="仿宋_GB2312" w:eastAsia="仿宋_GB2312"/>
          <w:sz w:val="28"/>
          <w:szCs w:val="28"/>
        </w:rPr>
        <w:t>2、</w:t>
      </w:r>
      <w:r>
        <w:rPr>
          <w:rFonts w:ascii="仿宋_GB2312" w:eastAsia="仿宋_GB2312"/>
          <w:sz w:val="28"/>
          <w:szCs w:val="28"/>
        </w:rPr>
        <w:t>53771881</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联 系 人：攸兴臣，韦正龙，桑立强</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E43243"/>
    <w:rsid w:val="5FE432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2020-06-10T07:31:00Z</dcterms:created>
  <dc:creator>桑立强</dc:creator>
  <cp:lastModifiedBy>桑立强</cp:lastModifiedBy>
  <dcterms:modified xsi:type="dcterms:W3CDTF">2020-06-10T07:31:41Z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