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20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ind w:left="630" w:leftChars="300" w:firstLine="1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2020年政府会计准则制度实操、内部控制实施优化与预算绩效评价、成本会计和国有资产管理实务操作系列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培训班专题介绍</w:t>
      </w:r>
    </w:p>
    <w:p>
      <w:pPr>
        <w:spacing w:before="312" w:beforeLines="100" w:after="156" w:afterLines="50" w:line="480" w:lineRule="exact"/>
        <w:ind w:firstLine="413" w:firstLineChars="147"/>
        <w:rPr>
          <w:rFonts w:ascii="仿宋_GB2312" w:hAnsi="Calibri" w:eastAsia="仿宋_GB2312"/>
          <w:b/>
          <w:w w:val="80"/>
          <w:kern w:val="0"/>
          <w:sz w:val="28"/>
          <w:szCs w:val="28"/>
        </w:rPr>
      </w:pPr>
      <w:r>
        <w:rPr>
          <w:rFonts w:hint="eastAsia" w:ascii="仿宋_GB2312" w:hAnsi="Calibri" w:eastAsia="仿宋_GB2312"/>
          <w:b/>
          <w:kern w:val="0"/>
          <w:sz w:val="28"/>
          <w:szCs w:val="28"/>
        </w:rPr>
        <w:t>专题一：</w:t>
      </w:r>
      <w:r>
        <w:rPr>
          <w:rFonts w:hint="eastAsia" w:ascii="仿宋_GB2312" w:hAnsi="Calibri" w:eastAsia="仿宋_GB2312"/>
          <w:b/>
          <w:w w:val="80"/>
          <w:kern w:val="0"/>
          <w:sz w:val="28"/>
          <w:szCs w:val="28"/>
        </w:rPr>
        <w:t>政府会计准则制度实操难点、具体账务处理案例与内部控制实施和优化专题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413" w:firstLineChars="147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Calibri" w:eastAsia="仿宋_GB2312"/>
          <w:b/>
          <w:sz w:val="28"/>
          <w:szCs w:val="28"/>
        </w:rPr>
        <w:t>课程内容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1、政府会计准则具体应用及最新进展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政府会计准则第1号-10号应用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 xml:space="preserve"> 政府会计准则制度解释第1号、2号应用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准则制定最新进展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2、《政府会计制度》报表重点内容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bCs/>
          <w:sz w:val="28"/>
          <w:szCs w:val="28"/>
        </w:rPr>
        <w:t>财务会计报表和预算报表编制难点与举例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bCs/>
          <w:sz w:val="28"/>
          <w:szCs w:val="28"/>
        </w:rPr>
        <w:t>《现金流量表》编制技巧与举例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bCs/>
          <w:sz w:val="28"/>
          <w:szCs w:val="28"/>
        </w:rPr>
        <w:t>《当期盈佘与预算结余差异表项目》编制技巧与差异事项举例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3、《政府会计制度》平行记账难点与案例分析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(1)平行记账总结与综合应用归纳分析</w:t>
      </w:r>
    </w:p>
    <w:p>
      <w:pPr>
        <w:tabs>
          <w:tab w:val="left" w:pos="1069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(2)</w:t>
      </w:r>
      <w:r>
        <w:rPr>
          <w:rFonts w:hint="eastAsia" w:ascii="仿宋_GB2312" w:eastAsia="仿宋_GB2312" w:cs="仿宋_GB2312"/>
          <w:sz w:val="28"/>
          <w:szCs w:val="28"/>
        </w:rPr>
        <w:tab/>
      </w:r>
      <w:r>
        <w:rPr>
          <w:rFonts w:hint="eastAsia" w:ascii="仿宋_GB2312" w:eastAsia="仿宋_GB2312" w:cs="仿宋_GB2312"/>
          <w:sz w:val="28"/>
          <w:szCs w:val="28"/>
        </w:rPr>
        <w:t>重点科目核算举例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1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①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库存现金和银行存款平行记账应用示范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2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②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零余额账户用款额度平行记账应用示范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3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③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财政应返还额度平行记账应用示范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4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④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往来账款核算举例与坏账准备核算举例</w:t>
      </w:r>
    </w:p>
    <w:p>
      <w:pPr>
        <w:pStyle w:val="4"/>
        <w:tabs>
          <w:tab w:val="left" w:pos="1620"/>
          <w:tab w:val="left" w:pos="1800"/>
        </w:tabs>
        <w:spacing w:line="400" w:lineRule="exact"/>
        <w:ind w:left="839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5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⑤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待摊费用与预提费用的核算区别举例</w:t>
      </w:r>
    </w:p>
    <w:p>
      <w:pPr>
        <w:tabs>
          <w:tab w:val="left" w:pos="1069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(3)难点总结分析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4、具体账务处理案例合集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hAnsi="Calibri" w:eastAsia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5、行政事业单位内部控制</w:t>
      </w:r>
      <w:r>
        <w:rPr>
          <w:rFonts w:hint="eastAsia" w:ascii="仿宋_GB2312" w:hAnsi="Calibri" w:eastAsia="仿宋_GB2312"/>
          <w:b/>
          <w:sz w:val="28"/>
          <w:szCs w:val="28"/>
        </w:rPr>
        <w:t>实施和优化</w:t>
      </w:r>
    </w:p>
    <w:p>
      <w:pPr>
        <w:ind w:left="561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(1)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组织机构内控设计与优化</w:t>
      </w:r>
    </w:p>
    <w:p>
      <w:pPr>
        <w:ind w:left="561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(2)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议事决策机制的内控设计与优化</w:t>
      </w:r>
    </w:p>
    <w:p>
      <w:pPr>
        <w:ind w:left="561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(3)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关键岗位及其人员权责分配设计与优化</w:t>
      </w:r>
    </w:p>
    <w:p>
      <w:pPr>
        <w:ind w:left="561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(4)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会计控制设计与优化</w:t>
      </w:r>
    </w:p>
    <w:p>
      <w:pPr>
        <w:ind w:left="561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(5)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具体业务层面内控实施与优化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6、行政事业单位内部控制评价报告编写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行政事业单位内部控制评价报告编写要点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行政事业单位内控报告各指标的评价与填列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行政事业单位内部控制报告编写常见难点问题解答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不同行业事业单位内控评价特殊性分析</w:t>
      </w:r>
    </w:p>
    <w:p>
      <w:pPr>
        <w:tabs>
          <w:tab w:val="left" w:pos="1620"/>
          <w:tab w:val="left" w:pos="1800"/>
        </w:tabs>
        <w:spacing w:before="93" w:beforeLines="30" w:after="93" w:afterLines="30" w:line="520" w:lineRule="exact"/>
        <w:ind w:firstLine="413" w:firstLineChars="147"/>
        <w:jc w:val="left"/>
        <w:rPr>
          <w:rFonts w:ascii="仿宋_GB2312" w:hAnsi="Calibri" w:eastAsia="仿宋_GB2312"/>
          <w:b/>
          <w:sz w:val="28"/>
          <w:szCs w:val="28"/>
        </w:rPr>
      </w:pPr>
      <w:r>
        <w:rPr>
          <w:rFonts w:hint="eastAsia" w:ascii="仿宋_GB2312" w:hAnsi="Calibri" w:eastAsia="仿宋_GB2312"/>
          <w:b/>
          <w:kern w:val="0"/>
          <w:sz w:val="28"/>
          <w:szCs w:val="28"/>
        </w:rPr>
        <w:t xml:space="preserve">专题二: </w:t>
      </w:r>
      <w:r>
        <w:rPr>
          <w:rFonts w:hint="eastAsia" w:ascii="仿宋_GB2312" w:hAnsi="Calibri" w:eastAsia="仿宋_GB2312"/>
          <w:b/>
          <w:w w:val="80"/>
          <w:kern w:val="0"/>
          <w:sz w:val="28"/>
          <w:szCs w:val="28"/>
        </w:rPr>
        <w:t>实施预算绩效管理暨预算（投资）评审、绩效评价与成本会计实务操作专题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1、行政事业单位全面实施预算绩效管理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《中共中央 国务院关于全面实施预算绩效管理的意见》解析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全面实施预算绩效管理的重要意义、预算绩效管理的重点环节、绩效管理监督问责、工作协调机制等</w:t>
      </w:r>
    </w:p>
    <w:p>
      <w:pPr>
        <w:widowControl/>
        <w:ind w:firstLine="56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预算（投资）评审工作操作实务与案例分析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1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①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预算（投资）评审工作操作实务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2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②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预算（投资）评审工作案例分析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3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③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预算（投资）工作中疑难问题与跟踪评审关键技术操作</w:t>
      </w:r>
    </w:p>
    <w:p>
      <w:pPr>
        <w:widowControl/>
        <w:ind w:left="56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hAnsi="宋体" w:eastAsia="仿宋_GB2312"/>
          <w:sz w:val="28"/>
          <w:szCs w:val="28"/>
        </w:rPr>
        <w:t>财政支出绩效评价实务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1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①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绩效指标体系设计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2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②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绩效评价数据来源及标准</w:t>
      </w:r>
    </w:p>
    <w:p>
      <w:pPr>
        <w:widowControl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财政支出绩效评价操作案例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1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①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项目单位财政支出项目绩效评价案例及经验分享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2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②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地方财政绩效评价案例及经验分享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3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③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中央部门财政支出绩效评价案例及经验分享</w:t>
      </w:r>
    </w:p>
    <w:p>
      <w:pPr>
        <w:widowControl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绩效评价报告编写技巧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1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①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绩效评价报告编写中容易出现的共性问题归纳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2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②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绩效评价报告编写的过程与要求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2、《事业单位成本核算基本指引》解析与成本会计实务操作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《事业单位成本核算基本指引》解析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政府成本会计核算主要问题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政府成本控制与成本管理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政府成本核算与成本管理实务案例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政府成本会计面临挑战与应对</w:t>
      </w:r>
    </w:p>
    <w:p>
      <w:pPr>
        <w:tabs>
          <w:tab w:val="left" w:pos="1620"/>
          <w:tab w:val="left" w:pos="1800"/>
        </w:tabs>
        <w:ind w:firstLine="413" w:firstLineChars="147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Calibri" w:eastAsia="仿宋_GB2312"/>
          <w:b/>
          <w:kern w:val="0"/>
          <w:sz w:val="28"/>
          <w:szCs w:val="28"/>
        </w:rPr>
        <w:t>专题三：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行政事业单位国有资产管理实务操作与政府会计改革专题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2" w:firstLineChars="200"/>
        <w:jc w:val="left"/>
        <w:rPr>
          <w:rFonts w:ascii="仿宋_GB2312" w:hAnsi="Calibri" w:eastAsia="仿宋_GB2312"/>
          <w:b/>
          <w:sz w:val="28"/>
          <w:szCs w:val="28"/>
        </w:rPr>
      </w:pPr>
      <w:r>
        <w:rPr>
          <w:rFonts w:hint="eastAsia" w:ascii="仿宋_GB2312" w:hAnsi="Calibri" w:eastAsia="仿宋_GB2312"/>
          <w:b/>
          <w:sz w:val="28"/>
          <w:szCs w:val="28"/>
        </w:rPr>
        <w:t>1、政府会计改革最新动态解析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2" w:firstLineChars="200"/>
        <w:jc w:val="left"/>
        <w:rPr>
          <w:rFonts w:ascii="仿宋_GB2312" w:hAnsi="Calibri" w:eastAsia="仿宋_GB2312"/>
          <w:b/>
          <w:sz w:val="28"/>
          <w:szCs w:val="28"/>
        </w:rPr>
      </w:pPr>
      <w:r>
        <w:rPr>
          <w:rFonts w:hint="eastAsia" w:ascii="仿宋_GB2312" w:hAnsi="Calibri" w:eastAsia="仿宋_GB2312"/>
          <w:b/>
          <w:sz w:val="28"/>
          <w:szCs w:val="28"/>
        </w:rPr>
        <w:t>2、国有资产相关法规与资产配置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 xml:space="preserve"> 《中央行政事业单位国有资产配置管理办法》解析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ascii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2019年《事业单位国有资产管理暂行办法》修改内容应用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资产配置原则、流程、方式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(4) 资产取得计价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(5) 资产取得账务处理</w:t>
      </w:r>
    </w:p>
    <w:p>
      <w:pPr>
        <w:ind w:firstLine="560"/>
        <w:rPr>
          <w:rFonts w:ascii="仿宋_GB2312" w:cs="仿宋_GB2312"/>
          <w:sz w:val="28"/>
          <w:szCs w:val="28"/>
        </w:rPr>
      </w:pPr>
      <w:r>
        <w:rPr>
          <w:rFonts w:hint="eastAsia" w:ascii="仿宋_GB2312" w:hAnsi="Calibri" w:eastAsia="仿宋_GB2312"/>
          <w:b/>
          <w:sz w:val="28"/>
          <w:szCs w:val="28"/>
        </w:rPr>
        <w:t>3、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资产使用管理与核算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资产使用分类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固定资产管理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1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①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固定资产后续支出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2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②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固定资产累计折旧核算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 (3)国有资产出租出借</w:t>
      </w:r>
    </w:p>
    <w:p>
      <w:pPr>
        <w:ind w:firstLine="560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4、资产处置管理与核算</w:t>
      </w:r>
    </w:p>
    <w:p>
      <w:pPr>
        <w:ind w:firstLine="560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5、资产清查核实与核算</w:t>
      </w:r>
    </w:p>
    <w:p>
      <w:pPr>
        <w:ind w:firstLine="560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6、资产报告编报实例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7、《政府会计制度》平行记账难点与案例分析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bCs/>
          <w:sz w:val="28"/>
          <w:szCs w:val="28"/>
        </w:rPr>
        <w:t>财务会计报表和预算报表编制难点与举例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bCs/>
          <w:sz w:val="28"/>
          <w:szCs w:val="28"/>
        </w:rPr>
        <w:t>《现金流量表》编制技巧与举例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bCs/>
          <w:sz w:val="28"/>
          <w:szCs w:val="28"/>
        </w:rPr>
        <w:t>《当期盈佘与预算结余差异表项目》编制技巧与差异事项举例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(4)重点科目核算举例</w:t>
      </w:r>
    </w:p>
    <w:p>
      <w:pPr>
        <w:tabs>
          <w:tab w:val="left" w:pos="1069"/>
          <w:tab w:val="left" w:pos="1800"/>
        </w:tabs>
        <w:ind w:firstLine="56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(5)</w:t>
      </w:r>
      <w:r>
        <w:rPr>
          <w:rFonts w:hint="eastAsia" w:ascii="仿宋_GB2312" w:eastAsia="仿宋_GB2312" w:cs="仿宋_GB2312"/>
          <w:bCs/>
          <w:sz w:val="28"/>
          <w:szCs w:val="28"/>
        </w:rPr>
        <w:t>具体账务处理案例合集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2" w:firstLineChars="200"/>
        <w:jc w:val="left"/>
        <w:rPr>
          <w:rFonts w:ascii="仿宋_GB2312" w:hAnsi="Calibri" w:eastAsia="仿宋_GB2312"/>
          <w:b/>
          <w:sz w:val="28"/>
          <w:szCs w:val="28"/>
        </w:rPr>
      </w:pPr>
      <w:r>
        <w:rPr>
          <w:rFonts w:hint="eastAsia" w:ascii="仿宋_GB2312" w:hAnsi="Calibri" w:eastAsia="仿宋_GB2312"/>
          <w:b/>
          <w:sz w:val="28"/>
          <w:szCs w:val="28"/>
        </w:rPr>
        <w:t>8、财政电子票据管理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(1)财政部《关于全面推开财政电子票据管理改革的通知》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(2)财政电子票据管理操作及流程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2" w:firstLineChars="200"/>
        <w:jc w:val="left"/>
        <w:rPr>
          <w:rFonts w:eastAsia="仿宋_GB2312" w:asciiTheme="minorHAnsi" w:hAnsiTheme="minorHAnsi"/>
          <w:b/>
          <w:sz w:val="28"/>
          <w:szCs w:val="28"/>
        </w:rPr>
      </w:pPr>
      <w:r>
        <w:rPr>
          <w:rFonts w:hint="eastAsia" w:ascii="仿宋_GB2312" w:hAnsi="Calibri" w:eastAsia="仿宋_GB2312"/>
          <w:b/>
          <w:sz w:val="28"/>
          <w:szCs w:val="28"/>
        </w:rPr>
        <w:t>9</w:t>
      </w:r>
      <w:r>
        <w:rPr>
          <w:rFonts w:hint="eastAsia" w:eastAsia="仿宋_GB2312" w:asciiTheme="minorHAnsi" w:hAnsiTheme="minorHAnsi"/>
          <w:b/>
          <w:sz w:val="28"/>
          <w:szCs w:val="28"/>
        </w:rPr>
        <w:t>、政府采购实务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(1)财政部《政府采购信息发布管理办法》修订解析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(2)发改委《中华人民共和国招标投标法》修订解析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bCs/>
          <w:sz w:val="28"/>
          <w:szCs w:val="28"/>
        </w:rPr>
        <w:t>政府采购招投标实务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05C15"/>
    <w:rsid w:val="4BE0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2020-06-10T07:27:00Z</dcterms:created>
  <dc:creator>桑立强</dc:creator>
  <cp:lastModifiedBy>桑立强</cp:lastModifiedBy>
  <dcterms:modified xsi:type="dcterms:W3CDTF">2020-06-10T07:27:44Z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