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28"/>
          <w:szCs w:val="28"/>
        </w:rPr>
      </w:pPr>
      <w:r>
        <w:rPr>
          <w:rFonts w:hint="eastAsia" w:ascii="仿宋_GB2312" w:eastAsia="仿宋_GB2312"/>
          <w:sz w:val="28"/>
          <w:szCs w:val="28"/>
        </w:rPr>
        <w:t>附件1：</w:t>
      </w:r>
    </w:p>
    <w:p>
      <w:pPr>
        <w:spacing w:before="156" w:beforeLines="50" w:line="400" w:lineRule="exact"/>
        <w:ind w:left="630" w:leftChars="300" w:right="630" w:rightChars="300"/>
        <w:jc w:val="center"/>
        <w:rPr>
          <w:rFonts w:ascii="宋体" w:hAnsi="宋体"/>
          <w:b/>
          <w:kern w:val="0"/>
          <w:sz w:val="32"/>
          <w:szCs w:val="32"/>
        </w:rPr>
      </w:pPr>
      <w:r>
        <w:rPr>
          <w:rFonts w:hint="eastAsia" w:ascii="宋体" w:hAnsi="宋体"/>
          <w:b/>
          <w:kern w:val="0"/>
          <w:sz w:val="32"/>
          <w:szCs w:val="32"/>
        </w:rPr>
        <w:t>2020年政府会计准则制度实操、内部控制实施优化与预算绩效评价、成本会计和国有资产管理实务操作系列培训班工作方案</w:t>
      </w:r>
    </w:p>
    <w:p>
      <w:pPr>
        <w:spacing w:before="156" w:beforeLines="50" w:line="400" w:lineRule="exact"/>
        <w:ind w:firstLine="562" w:firstLineChars="200"/>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line="400" w:lineRule="exact"/>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156" w:beforeLines="50" w:after="93" w:afterLines="30" w:line="400" w:lineRule="exact"/>
        <w:ind w:firstLine="650" w:firstLineChars="249"/>
        <w:rPr>
          <w:rFonts w:ascii="宋体" w:hAnsi="宋体"/>
          <w:b/>
          <w:spacing w:val="-10"/>
          <w:sz w:val="28"/>
          <w:szCs w:val="28"/>
        </w:rPr>
      </w:pPr>
      <w:r>
        <w:rPr>
          <w:rFonts w:hint="eastAsia" w:ascii="宋体" w:hAnsi="宋体"/>
          <w:b/>
          <w:spacing w:val="-10"/>
          <w:sz w:val="28"/>
          <w:szCs w:val="28"/>
        </w:rPr>
        <w:t>一、培训专题计</w:t>
      </w:r>
      <w:r>
        <w:rPr>
          <w:rFonts w:hint="eastAsia" w:ascii="宋体" w:hAnsi="宋体"/>
          <w:b/>
          <w:sz w:val="28"/>
          <w:szCs w:val="28"/>
        </w:rPr>
        <w:t>划安排</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专题一：政府会计准则制度实操难点、具体账务处理案例与内部控制实施和优化专题</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专题二：实施预算绩效管理暨预算（投资）评审、绩效评价与成本会计实务操作专题</w:t>
      </w:r>
    </w:p>
    <w:p>
      <w:pPr>
        <w:spacing w:line="400" w:lineRule="exact"/>
        <w:ind w:firstLine="460" w:firstLineChars="200"/>
        <w:rPr>
          <w:rFonts w:ascii="仿宋_GB2312" w:eastAsia="仿宋_GB2312"/>
          <w:spacing w:val="-11"/>
          <w:w w:val="90"/>
          <w:sz w:val="28"/>
          <w:szCs w:val="28"/>
        </w:rPr>
      </w:pPr>
      <w:r>
        <w:rPr>
          <w:rFonts w:hint="eastAsia" w:ascii="仿宋_GB2312" w:eastAsia="仿宋_GB2312"/>
          <w:spacing w:val="-11"/>
          <w:w w:val="90"/>
          <w:sz w:val="28"/>
          <w:szCs w:val="28"/>
        </w:rPr>
        <w:t>专题三：行政事业单位国有资产管理实务操作与政府会计改革专题</w:t>
      </w:r>
    </w:p>
    <w:p>
      <w:pPr>
        <w:spacing w:before="62" w:beforeLines="20" w:after="62" w:afterLines="20" w:line="440" w:lineRule="exact"/>
        <w:ind w:firstLine="783" w:firstLineChars="300"/>
        <w:jc w:val="center"/>
        <w:rPr>
          <w:rFonts w:ascii="黑体" w:eastAsia="黑体"/>
          <w:b/>
          <w:spacing w:val="-10"/>
          <w:sz w:val="28"/>
          <w:szCs w:val="28"/>
        </w:rPr>
      </w:pPr>
      <w:r>
        <w:rPr>
          <w:rFonts w:hint="eastAsia" w:ascii="黑体" w:eastAsia="黑体"/>
          <w:b/>
          <w:spacing w:val="-10"/>
          <w:sz w:val="28"/>
          <w:szCs w:val="28"/>
        </w:rPr>
        <w:t>2020年培训计划安排列表</w:t>
      </w:r>
    </w:p>
    <w:tbl>
      <w:tblPr>
        <w:tblStyle w:val="2"/>
        <w:tblW w:w="6859" w:type="dxa"/>
        <w:jc w:val="center"/>
        <w:tblLayout w:type="fixed"/>
        <w:tblCellMar>
          <w:top w:w="0" w:type="dxa"/>
          <w:left w:w="108" w:type="dxa"/>
          <w:bottom w:w="0" w:type="dxa"/>
          <w:right w:w="108" w:type="dxa"/>
        </w:tblCellMar>
      </w:tblPr>
      <w:tblGrid>
        <w:gridCol w:w="2553"/>
        <w:gridCol w:w="2225"/>
        <w:gridCol w:w="2081"/>
      </w:tblGrid>
      <w:tr>
        <w:tblPrEx>
          <w:tblCellMar>
            <w:top w:w="0" w:type="dxa"/>
            <w:left w:w="108" w:type="dxa"/>
            <w:bottom w:w="0" w:type="dxa"/>
            <w:right w:w="108" w:type="dxa"/>
          </w:tblCellMar>
        </w:tblPrEx>
        <w:trPr>
          <w:trHeight w:val="567" w:hRule="exact"/>
          <w:jc w:val="center"/>
        </w:trPr>
        <w:tc>
          <w:tcPr>
            <w:tcW w:w="25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具体时间</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地点</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专题</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7月15日-20日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乌鲁木齐</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7月15日-20日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青岛</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专题三</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7月22日-27日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贵阳</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7月22日-27日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呼和浩特</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 5 日-10日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桂林</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8月12日-17日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大连</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专题三</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8月12日-17日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8月19日-24日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呼伦贝尔</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 9 日-14日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成都</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9月16日-21日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大理</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color w:val="FF0000"/>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9月16日-21日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乌鲁木齐</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专题三</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9月23日-28日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南京</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10月14日-19日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长沙</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10月21日-26日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专题三</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10月21日-26日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 4 日- 9日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11月11日-16日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上海</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11月11日-16日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海口</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专题三</w:t>
            </w:r>
          </w:p>
        </w:tc>
      </w:tr>
      <w:tr>
        <w:tblPrEx>
          <w:tblCellMar>
            <w:top w:w="0" w:type="dxa"/>
            <w:left w:w="108" w:type="dxa"/>
            <w:bottom w:w="0" w:type="dxa"/>
            <w:right w:w="108" w:type="dxa"/>
          </w:tblCellMar>
        </w:tblPrEx>
        <w:trPr>
          <w:trHeight w:val="454" w:hRule="exact"/>
          <w:jc w:val="center"/>
        </w:trPr>
        <w:tc>
          <w:tcPr>
            <w:tcW w:w="2553"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 9 日-14日</w:t>
            </w:r>
          </w:p>
        </w:tc>
        <w:tc>
          <w:tcPr>
            <w:tcW w:w="222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南宁</w:t>
            </w:r>
          </w:p>
        </w:tc>
        <w:tc>
          <w:tcPr>
            <w:tcW w:w="208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w:t>
            </w:r>
          </w:p>
        </w:tc>
      </w:tr>
      <w:tr>
        <w:tblPrEx>
          <w:tblCellMar>
            <w:top w:w="0" w:type="dxa"/>
            <w:left w:w="108" w:type="dxa"/>
            <w:bottom w:w="0" w:type="dxa"/>
            <w:right w:w="108" w:type="dxa"/>
          </w:tblCellMar>
        </w:tblPrEx>
        <w:trPr>
          <w:trHeight w:val="454" w:hRule="exact"/>
          <w:jc w:val="center"/>
        </w:trPr>
        <w:tc>
          <w:tcPr>
            <w:tcW w:w="25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12月16日-21日</w:t>
            </w:r>
          </w:p>
        </w:tc>
        <w:tc>
          <w:tcPr>
            <w:tcW w:w="22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w:t>
            </w:r>
          </w:p>
        </w:tc>
      </w:tr>
    </w:tbl>
    <w:p>
      <w:pPr>
        <w:spacing w:before="62" w:beforeLines="20" w:after="62" w:afterLines="20" w:line="440" w:lineRule="exact"/>
        <w:ind w:firstLine="783" w:firstLineChars="300"/>
        <w:jc w:val="center"/>
        <w:rPr>
          <w:rFonts w:ascii="黑体" w:eastAsia="黑体"/>
          <w:b/>
          <w:spacing w:val="-10"/>
          <w:sz w:val="28"/>
          <w:szCs w:val="28"/>
        </w:rPr>
      </w:pPr>
    </w:p>
    <w:p>
      <w:pPr>
        <w:tabs>
          <w:tab w:val="left" w:pos="1620"/>
          <w:tab w:val="left" w:pos="1800"/>
        </w:tabs>
        <w:spacing w:before="93" w:beforeLines="30"/>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1、各专题方案电子版请登录中国总会计师协会网站和国培财经网站获取；或致电010-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ind w:firstLine="523" w:firstLineChars="187"/>
        <w:jc w:val="left"/>
        <w:rPr>
          <w:rFonts w:ascii="黑体" w:eastAsia="黑体"/>
          <w:b/>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93" w:afterLines="30"/>
        <w:ind w:firstLine="562" w:firstLineChars="200"/>
        <w:rPr>
          <w:rFonts w:ascii="黑体" w:eastAsia="黑体"/>
          <w:b/>
          <w:sz w:val="28"/>
          <w:szCs w:val="28"/>
        </w:rPr>
      </w:pPr>
      <w:r>
        <w:rPr>
          <w:rFonts w:hint="eastAsia" w:ascii="黑体" w:eastAsia="黑体"/>
          <w:b/>
          <w:sz w:val="28"/>
          <w:szCs w:val="28"/>
        </w:rPr>
        <w:t>二、培训对象</w:t>
      </w:r>
    </w:p>
    <w:p>
      <w:pPr>
        <w:ind w:firstLine="528" w:firstLineChars="200"/>
        <w:rPr>
          <w:rFonts w:ascii="仿宋_GB2312" w:eastAsia="仿宋_GB2312"/>
          <w:spacing w:val="-8"/>
          <w:sz w:val="28"/>
          <w:szCs w:val="28"/>
        </w:rPr>
      </w:pPr>
      <w:r>
        <w:rPr>
          <w:rFonts w:hint="eastAsia" w:ascii="仿宋_GB2312" w:eastAsia="仿宋_GB2312"/>
          <w:spacing w:val="-8"/>
          <w:sz w:val="28"/>
          <w:szCs w:val="28"/>
        </w:rPr>
        <w:t>各行政事业单位、各级党政机关及所属单位、社会团体（社会组织）、中介机构等管理人员与分管财务工作的领导，总会计师、财会部门负责人、预算管理处（科）长、计划财务处（科）长、审计处（科）长、资产管理处（科）长、人力资源处（科）长，部门负责人员（主管）、业务骨干以及相关人员等。</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三、师资力量</w:t>
      </w:r>
    </w:p>
    <w:p>
      <w:pPr>
        <w:spacing w:before="156" w:beforeLines="50" w:after="93" w:afterLines="30"/>
        <w:ind w:firstLine="560" w:firstLineChars="200"/>
        <w:rPr>
          <w:rFonts w:ascii="仿宋_GB2312" w:eastAsia="仿宋_GB2312"/>
          <w:sz w:val="28"/>
          <w:szCs w:val="28"/>
        </w:rPr>
      </w:pPr>
      <w:r>
        <w:rPr>
          <w:rFonts w:hint="eastAsia" w:ascii="仿宋_GB2312" w:eastAsia="仿宋_GB2312"/>
          <w:sz w:val="28"/>
          <w:szCs w:val="28"/>
        </w:rPr>
        <w:t>财政部相关司局，中国财政科学研究院，北京、上海、厦门国家会计学院等高等院校的领导和教授，业内实战权威专家。</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四、培训费用</w:t>
      </w:r>
    </w:p>
    <w:p>
      <w:pPr>
        <w:ind w:firstLine="560" w:firstLineChars="200"/>
        <w:rPr>
          <w:rFonts w:ascii="仿宋_GB2312" w:eastAsia="仿宋_GB2312"/>
          <w:sz w:val="28"/>
          <w:szCs w:val="28"/>
        </w:rPr>
      </w:pPr>
      <w:r>
        <w:rPr>
          <w:rFonts w:hint="eastAsia" w:ascii="仿宋_GB2312" w:eastAsia="仿宋_GB2312"/>
          <w:sz w:val="28"/>
          <w:szCs w:val="28"/>
        </w:rPr>
        <w:t>专题培训班费用为每人每期2,900元；食宿统一安排，费用另计；往返交通及费用由参训单位自行办理和支付。</w:t>
      </w:r>
    </w:p>
    <w:p>
      <w:pPr>
        <w:spacing w:before="156" w:beforeLines="50" w:after="93" w:afterLines="30"/>
        <w:ind w:left="425" w:firstLine="141" w:firstLineChars="50"/>
        <w:rPr>
          <w:rFonts w:ascii="黑体" w:eastAsia="黑体"/>
          <w:b/>
          <w:sz w:val="26"/>
          <w:szCs w:val="28"/>
        </w:rPr>
      </w:pPr>
      <w:r>
        <w:rPr>
          <w:rFonts w:hint="eastAsia" w:ascii="黑体" w:eastAsia="黑体"/>
          <w:b/>
          <w:sz w:val="28"/>
          <w:szCs w:val="28"/>
        </w:rPr>
        <w:t>五、参训办法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各单位可汇总本系统的参训人员填写报名表，传真至会务组（010-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line="500" w:lineRule="exact"/>
        <w:ind w:firstLine="560" w:firstLineChars="200"/>
        <w:rPr>
          <w:rFonts w:eastAsia="仿宋_GB2312" w:asciiTheme="minorHAnsi" w:hAnsiTheme="minorHAnsi"/>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fldChar w:fldCharType="begin"/>
      </w:r>
      <w:r>
        <w:instrText xml:space="preserve"> HYPERLINK "http://www.guopeicaijing.com" </w:instrText>
      </w:r>
      <w:r>
        <w:fldChar w:fldCharType="separate"/>
      </w:r>
      <w:r>
        <w:rPr>
          <w:rFonts w:hint="eastAsia" w:ascii="仿宋_GB2312" w:eastAsia="仿宋_GB2312"/>
          <w:color w:val="000000"/>
          <w:sz w:val="28"/>
          <w:szCs w:val="28"/>
        </w:rPr>
        <w:t>www.guopeicaijing.com</w:t>
      </w:r>
      <w:r>
        <w:rPr>
          <w:rFonts w:hint="eastAsia" w:ascii="仿宋_GB2312" w:eastAsia="仿宋_GB2312"/>
          <w:color w:val="000000"/>
          <w:sz w:val="28"/>
          <w:szCs w:val="28"/>
        </w:rPr>
        <w:fldChar w:fldCharType="end"/>
      </w:r>
      <w:r>
        <w:rPr>
          <w:rFonts w:hint="eastAsia" w:eastAsia="仿宋_GB2312" w:asciiTheme="minorHAnsi" w:hAnsiTheme="minorHAnsi"/>
          <w:color w:val="000000"/>
          <w:sz w:val="28"/>
          <w:szCs w:val="28"/>
        </w:rPr>
        <w:t>、</w:t>
      </w:r>
      <w:r>
        <w:rPr>
          <w:rFonts w:hint="eastAsia" w:ascii="仿宋_GB2312" w:eastAsia="仿宋_GB2312"/>
          <w:sz w:val="28"/>
          <w:szCs w:val="28"/>
        </w:rPr>
        <w:t>国培财经微信公众号。</w:t>
      </w:r>
    </w:p>
    <w:p>
      <w:pPr>
        <w:spacing w:before="93" w:beforeLines="30" w:after="93" w:afterLines="30"/>
        <w:ind w:firstLine="548" w:firstLineChars="196"/>
        <w:rPr>
          <w:rFonts w:ascii="仿宋_GB2312" w:hAnsi="宋体" w:eastAsia="仿宋_GB2312"/>
          <w:bCs/>
          <w:sz w:val="28"/>
          <w:szCs w:val="28"/>
        </w:rPr>
      </w:pPr>
      <w:r>
        <w:rPr>
          <w:rFonts w:hint="eastAsia" w:ascii="仿宋_GB2312" w:eastAsia="仿宋_GB2312"/>
          <w:sz w:val="28"/>
          <w:szCs w:val="28"/>
        </w:rPr>
        <w:t xml:space="preserve">汇款方式: </w:t>
      </w:r>
      <w:r>
        <w:rPr>
          <w:rFonts w:hint="eastAsia" w:ascii="仿宋_GB2312" w:hAnsi="宋体" w:eastAsia="仿宋_GB2312"/>
          <w:bCs/>
          <w:sz w:val="28"/>
          <w:szCs w:val="28"/>
        </w:rPr>
        <w:t>户  名：北京国培创新教育科技股份有限公司</w:t>
      </w:r>
    </w:p>
    <w:p>
      <w:pPr>
        <w:spacing w:before="30" w:after="93" w:afterLines="30"/>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before="30" w:after="93" w:afterLines="30"/>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六、培训证书</w:t>
      </w:r>
    </w:p>
    <w:p>
      <w:pPr>
        <w:ind w:firstLine="556"/>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spacing w:before="156" w:beforeLines="50" w:after="93" w:afterLines="30"/>
        <w:ind w:firstLine="556"/>
        <w:rPr>
          <w:rFonts w:ascii="黑体" w:eastAsia="黑体"/>
          <w:b/>
          <w:sz w:val="28"/>
          <w:szCs w:val="28"/>
        </w:rPr>
      </w:pPr>
      <w:r>
        <w:rPr>
          <w:rFonts w:hint="eastAsia" w:ascii="黑体" w:eastAsia="黑体"/>
          <w:b/>
          <w:sz w:val="28"/>
          <w:szCs w:val="28"/>
        </w:rPr>
        <w:t>七、联系方式</w:t>
      </w:r>
    </w:p>
    <w:p>
      <w:pPr>
        <w:spacing w:before="93" w:beforeLines="30" w:after="93" w:afterLines="30"/>
        <w:ind w:firstLine="560" w:firstLineChars="200"/>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spacing w:before="93" w:beforeLines="30"/>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spacing w:before="93" w:beforeLines="30"/>
        <w:ind w:firstLine="555"/>
        <w:rPr>
          <w:rFonts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461BF"/>
    <w:rsid w:val="2A64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2020-06-10T07:26:00Z</dcterms:created>
  <dc:creator>桑立强</dc:creator>
  <cp:lastModifiedBy>桑立强</cp:lastModifiedBy>
  <dcterms:modified xsi:type="dcterms:W3CDTF">2020-06-10T07:26:47Z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