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420" w:lineRule="exact"/>
        <w:ind w:left="-486" w:leftChars="-203" w:right="-552" w:rightChars="-230" w:hanging="1"/>
        <w:jc w:val="center"/>
        <w:rPr>
          <w:rFonts w:ascii="宋体" w:hAnsi="宋体" w:cs="黑体"/>
          <w:b/>
          <w:bCs/>
          <w:kern w:val="10"/>
          <w:sz w:val="32"/>
          <w:szCs w:val="32"/>
        </w:rPr>
      </w:pPr>
      <w:r>
        <w:rPr>
          <w:rFonts w:hint="eastAsia" w:cs="黑体"/>
          <w:b/>
          <w:bCs/>
          <w:kern w:val="10"/>
          <w:sz w:val="32"/>
          <w:szCs w:val="32"/>
        </w:rPr>
        <w:t>数字智能时代业财融合、财务转型与智能财务建设，财务共享中心建设、运营与提升</w:t>
      </w:r>
      <w:r>
        <w:rPr>
          <w:rFonts w:hint="eastAsia" w:ascii="宋体" w:hAnsi="宋体" w:cs="黑体"/>
          <w:b/>
          <w:bCs/>
          <w:kern w:val="10"/>
          <w:sz w:val="32"/>
          <w:szCs w:val="32"/>
        </w:rPr>
        <w:t>专题研讨活动</w:t>
      </w:r>
      <w:r>
        <w:rPr>
          <w:rFonts w:hint="eastAsia" w:ascii="宋体" w:hAnsi="宋体" w:cs="仿宋"/>
          <w:b/>
          <w:sz w:val="32"/>
          <w:szCs w:val="32"/>
        </w:rPr>
        <w:t>工作方案</w:t>
      </w:r>
    </w:p>
    <w:p>
      <w:pPr>
        <w:spacing w:before="468" w:beforeLines="150" w:line="42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主办单位：中国总会计师协会</w:t>
      </w:r>
    </w:p>
    <w:p>
      <w:pPr>
        <w:spacing w:after="156" w:afterLines="50" w:line="42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承办单位：《中国总会计师》杂志社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一、时间地点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sz w:val="30"/>
          <w:szCs w:val="30"/>
        </w:rPr>
        <w:t>专题：</w:t>
      </w:r>
      <w:r>
        <w:rPr>
          <w:rFonts w:hint="eastAsia" w:ascii="仿宋" w:hAnsi="仿宋" w:eastAsia="仿宋" w:cs="仿宋"/>
          <w:b/>
          <w:kern w:val="2"/>
          <w:sz w:val="30"/>
          <w:szCs w:val="30"/>
        </w:rPr>
        <w:t>数字智能时代业财融合、财务转型与智能财务建设</w:t>
      </w:r>
    </w:p>
    <w:p>
      <w:pPr>
        <w:tabs>
          <w:tab w:val="left" w:pos="6560"/>
        </w:tabs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年7月24日</w:t>
      </w:r>
      <w:r>
        <w:rPr>
          <w:rFonts w:ascii="仿宋" w:hAnsi="仿宋" w:eastAsia="仿宋" w:cs="仿宋"/>
          <w:sz w:val="30"/>
          <w:szCs w:val="30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28日</w:t>
      </w:r>
      <w:r>
        <w:rPr>
          <w:rFonts w:ascii="仿宋" w:hAnsi="仿宋" w:eastAsia="仿宋" w:cs="仿宋"/>
          <w:sz w:val="30"/>
          <w:szCs w:val="30"/>
        </w:rPr>
        <w:tab/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地点：泰安市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（二）专题: 数字智能时代财务共享中心建设、运营与提升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时间：2020年8月21日—25日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地点：贵阳市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（具体地址开会前十天见报到通知）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pStyle w:val="5"/>
        <w:numPr>
          <w:ilvl w:val="0"/>
          <w:numId w:val="1"/>
        </w:numPr>
        <w:spacing w:line="440" w:lineRule="exact"/>
        <w:ind w:right="-552" w:rightChars="-230" w:firstLineChars="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参会对象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政府机关、企事业单位总会计师、财务总监、首席财务官、财务部门负责人；财务和税务经理、主管等；财务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" w:hAnsi="仿宋" w:eastAsia="仿宋" w:cs="仿宋"/>
          <w:sz w:val="30"/>
          <w:szCs w:val="30"/>
        </w:rPr>
        <w:t>CPA</w:t>
      </w:r>
      <w:r>
        <w:rPr>
          <w:rFonts w:hint="eastAsia" w:ascii="仿宋" w:hAnsi="仿宋" w:eastAsia="仿宋" w:cs="仿宋"/>
          <w:sz w:val="30"/>
          <w:szCs w:val="30"/>
        </w:rPr>
        <w:t>、咨询师；金融行业金融分析师、风险控制师；大中专院校会计专业教师；需要加强会计知识学习和提升的各单位主要负责人等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三、研讨内容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专题一：</w:t>
      </w:r>
      <w:r>
        <w:rPr>
          <w:rFonts w:hint="eastAsia" w:ascii="仿宋" w:hAnsi="仿宋" w:eastAsia="仿宋" w:cs="仿宋"/>
          <w:b/>
          <w:kern w:val="2"/>
          <w:sz w:val="30"/>
          <w:szCs w:val="30"/>
        </w:rPr>
        <w:t>数字智能时代业财融合、财务转型与智能财务建设</w:t>
      </w:r>
    </w:p>
    <w:p>
      <w:pPr>
        <w:spacing w:line="440" w:lineRule="exact"/>
        <w:ind w:left="1" w:leftChars="-236" w:right="-230" w:hanging="567"/>
        <w:rPr>
          <w:rFonts w:ascii=".PingFang SC" w:hAnsi=".PingFang SC" w:eastAsia=".PingFang SC"/>
          <w:color w:val="454545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（一）数字智能时代的业财融合</w:t>
      </w:r>
    </w:p>
    <w:p>
      <w:pPr>
        <w:spacing w:line="440" w:lineRule="exact"/>
        <w:ind w:left="1" w:leftChars="-236" w:right="-230" w:hanging="5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1、财务如何在业务</w:t>
      </w:r>
      <w:r>
        <w:rPr>
          <w:rFonts w:ascii="仿宋" w:hAnsi="仿宋" w:eastAsia="仿宋" w:cs="仿宋"/>
          <w:sz w:val="30"/>
          <w:szCs w:val="30"/>
        </w:rPr>
        <w:t>规划、信息收集、分析与决策、控制与评价</w:t>
      </w:r>
      <w:r>
        <w:rPr>
          <w:rFonts w:hint="eastAsia" w:ascii="仿宋" w:hAnsi="仿宋" w:eastAsia="仿宋" w:cs="仿宋"/>
          <w:sz w:val="30"/>
          <w:szCs w:val="30"/>
        </w:rPr>
        <w:t>等方面实现对业务的支持。</w:t>
      </w:r>
    </w:p>
    <w:p>
      <w:pPr>
        <w:spacing w:line="440" w:lineRule="exact"/>
        <w:ind w:left="1" w:leftChars="-236" w:right="-230" w:hanging="5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2、如何以数字化与智能化为基础，有效运用管理会计工具，搭建业财一体化的智能财务管理体系。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（二）数字智能时代的财务转型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1、财务转型的方向：引入数字技术实现自动化、智能化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2、管理会计+信息化，推动财务管理转型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“互联网</w:t>
      </w:r>
      <w:r>
        <w:rPr>
          <w:rFonts w:ascii="仿宋" w:hAnsi="仿宋" w:eastAsia="仿宋" w:cs="仿宋"/>
          <w:sz w:val="30"/>
          <w:szCs w:val="30"/>
        </w:rPr>
        <w:t>+</w:t>
      </w:r>
      <w:r>
        <w:rPr>
          <w:rFonts w:hint="eastAsia" w:ascii="仿宋" w:hAnsi="仿宋" w:eastAsia="仿宋" w:cs="仿宋"/>
          <w:sz w:val="30"/>
          <w:szCs w:val="30"/>
        </w:rPr>
        <w:t>”对管理会计体系的冲击和融合；大数据、云计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（三）智能财务建设与财务转型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信息化助力财务体系数字化与智能化；财务信息化发展与财务大数据价值；大数据时代组织变革与管理创新；智能财务项目规划、建设过程与难点以及若干案例分析；管理会计智能化展望；智能财务与大数据最佳实施案例；大数据应用前沿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（四）财务转型与财务共享服务</w:t>
      </w:r>
    </w:p>
    <w:p>
      <w:pPr>
        <w:spacing w:line="440" w:lineRule="exact"/>
        <w:ind w:left="-487" w:leftChars="-203" w:right="-552" w:rightChars="-230"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以共享服务为基础的财务转型；共享服务中心的建设、运营与提升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Calibri" w:hAnsi="Calibri" w:eastAsia="仿宋" w:cs="Calibri"/>
          <w:b/>
          <w:bCs/>
          <w:sz w:val="30"/>
          <w:szCs w:val="30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）区块链与财务转型</w:t>
      </w:r>
    </w:p>
    <w:p>
      <w:pPr>
        <w:spacing w:line="440" w:lineRule="exact"/>
        <w:ind w:left="-487" w:leftChars="-203" w:right="-552" w:rightChars="-230"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“区块链+会计”的发展与前景展望；财务部门的区块链应用；区块链与财务共享中心；区块链与智能财务建设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（六）财务转型的能力素质要求与提升</w:t>
      </w:r>
    </w:p>
    <w:p>
      <w:pPr>
        <w:spacing w:line="440" w:lineRule="exact"/>
        <w:ind w:left="-487" w:leftChars="-203" w:right="-552" w:rightChars="-230"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财务组织从核算型转向管理决策型组织；财务人员从核算型人才转向决策支持与执行人员；财务管理如何适应财务体系数字化和智能化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（七）RPA在财务部门的应用</w:t>
      </w:r>
    </w:p>
    <w:p>
      <w:pPr>
        <w:spacing w:line="440" w:lineRule="exact"/>
        <w:ind w:left="-425" w:leftChars="-177" w:right="-624" w:rightChars="-260" w:firstLine="567" w:firstLineChars="18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RPA在财务管理流程中的应用与价值；RPA与财务管理变革；案例分享</w:t>
      </w:r>
    </w:p>
    <w:p>
      <w:pPr>
        <w:spacing w:line="440" w:lineRule="exact"/>
        <w:ind w:left="-424" w:leftChars="-177" w:right="-624" w:rightChars="-26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（八）如何应对专票电子化变革；电子会计档案的政策与实践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20" w:lineRule="exact"/>
        <w:ind w:left="-486" w:leftChars="-203" w:right="-552" w:rightChars="-230" w:hanging="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专题二：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数字智能时代</w:t>
      </w:r>
      <w:r>
        <w:rPr>
          <w:rFonts w:hint="eastAsia" w:ascii="仿宋" w:hAnsi="仿宋" w:eastAsia="仿宋" w:cs="仿宋"/>
          <w:b/>
          <w:sz w:val="30"/>
          <w:szCs w:val="30"/>
        </w:rPr>
        <w:t>财务共享中心建设、运营与提升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sz w:val="30"/>
          <w:szCs w:val="30"/>
        </w:rPr>
        <w:t>共享中心发展概述</w:t>
      </w:r>
    </w:p>
    <w:p>
      <w:pPr>
        <w:spacing w:line="440" w:lineRule="exact"/>
        <w:ind w:left="-487" w:leftChars="-203" w:right="-552" w:rightChars="-23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财务转型与组织变革；智能财务时代的财务共享服务概念与发展；共享服务的适用性问题；新一代共享服务建设中的核心要素；信息系统对共享服务的支撑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（二）数字智能时代</w:t>
      </w:r>
      <w:r>
        <w:rPr>
          <w:rFonts w:hint="eastAsia" w:ascii="仿宋" w:hAnsi="仿宋" w:eastAsia="仿宋" w:cs="仿宋"/>
          <w:b/>
          <w:sz w:val="30"/>
          <w:szCs w:val="30"/>
        </w:rPr>
        <w:t>共享中心建设与企业管理转型</w:t>
      </w:r>
    </w:p>
    <w:p>
      <w:pPr>
        <w:spacing w:line="440" w:lineRule="exact"/>
        <w:ind w:left="-487" w:leftChars="-203" w:right="-552" w:rightChars="-23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重新认识共享中心的意义与价值；共享中心本土化的困难与挑战</w:t>
      </w:r>
      <w:r>
        <w:rPr>
          <w:rFonts w:ascii="仿宋" w:hAnsi="仿宋" w:eastAsia="仿宋" w:cs="仿宋"/>
          <w:sz w:val="30"/>
          <w:szCs w:val="30"/>
        </w:rPr>
        <w:t>——</w:t>
      </w:r>
      <w:r>
        <w:rPr>
          <w:rFonts w:hint="eastAsia" w:ascii="仿宋" w:hAnsi="仿宋" w:eastAsia="仿宋" w:cs="仿宋"/>
          <w:sz w:val="30"/>
          <w:szCs w:val="30"/>
        </w:rPr>
        <w:t>共享对财务、税务、内控的影响；支持不同战略方向转型的共享中心建设案例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（三）数字智能时代</w:t>
      </w:r>
      <w:r>
        <w:rPr>
          <w:rFonts w:hint="eastAsia" w:ascii="仿宋" w:hAnsi="仿宋" w:eastAsia="仿宋" w:cs="仿宋"/>
          <w:b/>
          <w:sz w:val="30"/>
          <w:szCs w:val="30"/>
        </w:rPr>
        <w:t>财务共享服务中心的建设</w:t>
      </w:r>
    </w:p>
    <w:p>
      <w:pPr>
        <w:spacing w:line="440" w:lineRule="exact"/>
        <w:ind w:left="-487" w:leftChars="-203" w:right="-552" w:rightChars="-23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财务共享中心的战略结构、战略职能、流程；财务共享中心组织的定位、组织架构变化；财务共享中心人员安排；财务共享中心的地位及主要工作；</w:t>
      </w:r>
      <w:r>
        <w:rPr>
          <w:rFonts w:ascii="仿宋" w:hAnsi="仿宋" w:eastAsia="仿宋" w:cs="仿宋"/>
          <w:sz w:val="30"/>
          <w:szCs w:val="30"/>
        </w:rPr>
        <w:t>IT</w:t>
      </w:r>
      <w:r>
        <w:rPr>
          <w:rFonts w:hint="eastAsia" w:ascii="仿宋" w:hAnsi="仿宋" w:eastAsia="仿宋" w:cs="仿宋"/>
          <w:sz w:val="30"/>
          <w:szCs w:val="30"/>
        </w:rPr>
        <w:t>应用系统的选型；财务共享中心的核心工作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</w:t>
      </w:r>
      <w:r>
        <w:rPr>
          <w:rFonts w:hint="eastAsia" w:ascii="仿宋" w:hAnsi="仿宋" w:eastAsia="仿宋" w:cs="仿宋"/>
          <w:b/>
          <w:sz w:val="30"/>
          <w:szCs w:val="30"/>
        </w:rPr>
        <w:t>财务共享服务中心的运营管理</w:t>
      </w:r>
    </w:p>
    <w:p>
      <w:pPr>
        <w:spacing w:line="440" w:lineRule="exact"/>
        <w:ind w:left="-487" w:leftChars="-203" w:right="-552" w:rightChars="-23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（五）财务转型基于共享服务平台的打造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财务共享服务与集团信息化、管理会计的关系；管理会计导向的财务共享服务中心建设框架设计；财务共享未来发展方向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（六）数字智能时代财务共享服务中心如何提升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智能化背景下财务共享服务未来发展趋势；自动化、智能化在财务共享服务中心的应用；财务共享服务典型案例分析</w:t>
      </w:r>
    </w:p>
    <w:p>
      <w:pPr>
        <w:spacing w:line="440" w:lineRule="exact"/>
        <w:ind w:left="-486" w:leftChars="-203" w:right="-552" w:rightChars="-230" w:hanging="1"/>
        <w:outlineLvl w:val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（七）</w:t>
      </w:r>
      <w:r>
        <w:rPr>
          <w:rFonts w:hint="eastAsia" w:ascii="仿宋" w:hAnsi="仿宋" w:eastAsia="仿宋" w:cs="仿宋"/>
          <w:b/>
          <w:sz w:val="30"/>
          <w:szCs w:val="30"/>
        </w:rPr>
        <w:t>财务共享服务中心如何发挥司库的部分职能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资金管理集中化、财务公司与司库管理的关系；财务共享服务中心如何发挥司库的部分职能；司库在企业集团财务管理中的角色定位；司库运行流程与体系建设；如何在现有信息化基础上建设企业司库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（八）区块链与财务共享中心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“区块链+会计”的发展与前景展望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区块链在财务共享中心的应用</w:t>
      </w:r>
    </w:p>
    <w:p>
      <w:pPr>
        <w:spacing w:line="440" w:lineRule="exact"/>
        <w:ind w:left="-487" w:leftChars="-203" w:right="-552" w:rightChars="-230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（九）RPA在财务共享中心的应用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RPA在财务共享中心的应用与价值；RPA与财务管理变革；案例分享</w:t>
      </w:r>
    </w:p>
    <w:p>
      <w:pPr>
        <w:spacing w:line="440" w:lineRule="exact"/>
        <w:ind w:left="-424" w:leftChars="-177" w:right="-624" w:rightChars="-26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（十）如何应对专票电子化变革；电子会计档案的政策与实践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120" w:lineRule="exact"/>
        <w:ind w:right="-552" w:rightChars="-230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86" w:leftChars="-203" w:right="-552" w:rightChars="-230" w:hanging="1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四、师资力量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政府机关、学院、企业界等具有深厚理论功底和丰富实践经验的专家和教授组成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86" w:leftChars="-203" w:right="-552" w:rightChars="-230" w:hanging="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五、培训费用</w:t>
      </w:r>
    </w:p>
    <w:p>
      <w:pPr>
        <w:spacing w:line="44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收费标准：每期次培训费均为</w:t>
      </w:r>
      <w:r>
        <w:rPr>
          <w:rFonts w:ascii="仿宋" w:hAnsi="仿宋" w:eastAsia="仿宋" w:cs="仿宋"/>
          <w:sz w:val="30"/>
          <w:szCs w:val="30"/>
        </w:rPr>
        <w:t>2900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包括专家授课费、资料费、教学场租设备费等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。住宿和用餐统一安排，费用自理；交通费用自理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86" w:leftChars="-203" w:right="-552" w:rightChars="-230" w:hanging="1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六、培训证书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培训班学习期满，完成教学计划规定的全部课程，由中国总会计师协会颁发《培训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结业</w:t>
      </w:r>
      <w:r>
        <w:rPr>
          <w:rFonts w:hint="eastAsia" w:ascii="仿宋" w:hAnsi="仿宋" w:eastAsia="仿宋" w:cs="仿宋"/>
          <w:sz w:val="30"/>
          <w:szCs w:val="30"/>
        </w:rPr>
        <w:t>证书》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七、其他 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z w:val="30"/>
          <w:szCs w:val="30"/>
        </w:rPr>
        <w:t>研讨培训将根据情况安排企业现场参观交流，欢迎推荐或自荐!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培训期间，会务组将周密细致地做好各项防护，妥善安排各项配套措施，并向参会嘉宾赠送一次性口罩。请各企事业单位放心组织参加。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line="120" w:lineRule="exact"/>
        <w:ind w:left="-486" w:leftChars="-203" w:right="-552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86" w:leftChars="-203" w:right="-552" w:rightChars="-230" w:hanging="1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八、联系方式</w:t>
      </w:r>
    </w:p>
    <w:p>
      <w:pPr>
        <w:spacing w:line="440" w:lineRule="exact"/>
        <w:ind w:left="-486" w:leftChars="-203" w:right="-552" w:rightChars="-230" w:hanging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联系人：崔老师</w:t>
      </w:r>
      <w:r>
        <w:rPr>
          <w:rFonts w:ascii="仿宋" w:hAnsi="仿宋" w:eastAsia="仿宋" w:cs="仿宋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电话／传真：</w:t>
      </w:r>
      <w:r>
        <w:rPr>
          <w:rFonts w:ascii="仿宋" w:hAnsi="仿宋" w:eastAsia="仿宋" w:cs="仿宋"/>
          <w:sz w:val="30"/>
          <w:szCs w:val="30"/>
        </w:rPr>
        <w:t>010-</w:t>
      </w:r>
      <w:r>
        <w:rPr>
          <w:rFonts w:hint="eastAsia" w:ascii="仿宋" w:hAnsi="仿宋" w:eastAsia="仿宋" w:cs="仿宋"/>
          <w:sz w:val="30"/>
          <w:szCs w:val="30"/>
        </w:rPr>
        <w:t>63381767／63381780</w:t>
      </w:r>
    </w:p>
    <w:p>
      <w:pPr>
        <w:spacing w:line="440" w:lineRule="exact"/>
        <w:ind w:left="-486" w:leftChars="-203" w:right="-552" w:rightChars="-230" w:hanging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微信：cfocui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"mailto:cfo@cmcfo.cn"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4"/>
          <w:rFonts w:hint="eastAsia" w:ascii="仿宋" w:hAnsi="仿宋" w:eastAsia="仿宋" w:cs="仿宋"/>
          <w:sz w:val="30"/>
          <w:szCs w:val="30"/>
        </w:rPr>
        <w:t>cfo</w:t>
      </w:r>
      <w:r>
        <w:rPr>
          <w:rStyle w:val="4"/>
          <w:rFonts w:ascii="仿宋" w:hAnsi="仿宋" w:eastAsia="仿宋" w:cs="仿宋"/>
          <w:sz w:val="30"/>
          <w:szCs w:val="30"/>
        </w:rPr>
        <w:t>@</w:t>
      </w:r>
      <w:r>
        <w:rPr>
          <w:rStyle w:val="4"/>
          <w:rFonts w:hint="eastAsia" w:ascii="仿宋" w:hAnsi="仿宋" w:eastAsia="仿宋" w:cs="仿宋"/>
          <w:sz w:val="30"/>
          <w:szCs w:val="30"/>
        </w:rPr>
        <w:t>cmcfo</w:t>
      </w:r>
      <w:r>
        <w:rPr>
          <w:rStyle w:val="4"/>
          <w:rFonts w:ascii="仿宋" w:hAnsi="仿宋" w:eastAsia="仿宋" w:cs="仿宋"/>
          <w:sz w:val="30"/>
          <w:szCs w:val="30"/>
        </w:rPr>
        <w:t>.c</w:t>
      </w:r>
      <w:r>
        <w:rPr>
          <w:rStyle w:val="4"/>
          <w:rFonts w:hint="eastAsia" w:ascii="仿宋" w:hAnsi="仿宋" w:eastAsia="仿宋" w:cs="仿宋"/>
          <w:sz w:val="30"/>
          <w:szCs w:val="30"/>
        </w:rPr>
        <w:t>n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宋体"/>
    <w:panose1 w:val="020B04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5A92"/>
    <w:multiLevelType w:val="multilevel"/>
    <w:tmpl w:val="4F355A92"/>
    <w:lvl w:ilvl="0" w:tentative="0">
      <w:start w:val="2"/>
      <w:numFmt w:val="japaneseCounting"/>
      <w:lvlText w:val="%1、"/>
      <w:lvlJc w:val="left"/>
      <w:pPr>
        <w:ind w:left="294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534" w:hanging="480"/>
      </w:pPr>
    </w:lvl>
    <w:lvl w:ilvl="2" w:tentative="0">
      <w:start w:val="1"/>
      <w:numFmt w:val="lowerRoman"/>
      <w:lvlText w:val="%3."/>
      <w:lvlJc w:val="right"/>
      <w:pPr>
        <w:ind w:left="1014" w:hanging="480"/>
      </w:pPr>
    </w:lvl>
    <w:lvl w:ilvl="3" w:tentative="0">
      <w:start w:val="1"/>
      <w:numFmt w:val="decimal"/>
      <w:lvlText w:val="%4."/>
      <w:lvlJc w:val="left"/>
      <w:pPr>
        <w:ind w:left="1494" w:hanging="480"/>
      </w:pPr>
    </w:lvl>
    <w:lvl w:ilvl="4" w:tentative="0">
      <w:start w:val="1"/>
      <w:numFmt w:val="lowerLetter"/>
      <w:lvlText w:val="%5)"/>
      <w:lvlJc w:val="left"/>
      <w:pPr>
        <w:ind w:left="1974" w:hanging="480"/>
      </w:pPr>
    </w:lvl>
    <w:lvl w:ilvl="5" w:tentative="0">
      <w:start w:val="1"/>
      <w:numFmt w:val="lowerRoman"/>
      <w:lvlText w:val="%6."/>
      <w:lvlJc w:val="right"/>
      <w:pPr>
        <w:ind w:left="2454" w:hanging="480"/>
      </w:pPr>
    </w:lvl>
    <w:lvl w:ilvl="6" w:tentative="0">
      <w:start w:val="1"/>
      <w:numFmt w:val="decimal"/>
      <w:lvlText w:val="%7."/>
      <w:lvlJc w:val="left"/>
      <w:pPr>
        <w:ind w:left="2934" w:hanging="480"/>
      </w:pPr>
    </w:lvl>
    <w:lvl w:ilvl="7" w:tentative="0">
      <w:start w:val="1"/>
      <w:numFmt w:val="lowerLetter"/>
      <w:lvlText w:val="%8)"/>
      <w:lvlJc w:val="left"/>
      <w:pPr>
        <w:ind w:left="3414" w:hanging="480"/>
      </w:pPr>
    </w:lvl>
    <w:lvl w:ilvl="8" w:tentative="0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12C8"/>
    <w:rsid w:val="23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List Paragraph"/>
    <w:basedOn w:val="1"/>
    <w:uiPriority w:val="99"/>
    <w:pPr>
      <w:widowControl w:val="0"/>
      <w:ind w:firstLine="420" w:firstLineChars="200"/>
      <w:jc w:val="both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2020-06-10T07:22:00Z</dcterms:created>
  <dc:creator>桑立强</dc:creator>
  <cp:lastModifiedBy>桑立强</cp:lastModifiedBy>
  <dcterms:modified xsi:type="dcterms:W3CDTF">2020-06-10T07:23:24Z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