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2020</w:t>
      </w:r>
      <w:r>
        <w:rPr>
          <w:rFonts w:hint="eastAsia" w:ascii="宋体" w:hAnsi="宋体" w:cs="宋体"/>
          <w:b/>
          <w:bCs/>
          <w:color w:val="000000"/>
          <w:sz w:val="36"/>
          <w:szCs w:val="36"/>
          <w:lang w:val="en-US" w:eastAsia="zh-CN"/>
        </w:rPr>
        <w:t>年</w:t>
      </w: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银行业会计准则专题培训班</w:t>
      </w:r>
    </w:p>
    <w:p>
      <w:pPr>
        <w:spacing w:line="560" w:lineRule="exact"/>
        <w:jc w:val="center"/>
        <w:rPr>
          <w:rFonts w:hint="eastAsia" w:ascii="宋体" w:hAnsi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工  作  方  案</w:t>
      </w:r>
    </w:p>
    <w:p>
      <w:pPr>
        <w:spacing w:line="560" w:lineRule="exact"/>
        <w:ind w:firstLine="201" w:firstLineChars="200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主管主办单位：中国总会计师协会</w:t>
      </w:r>
    </w:p>
    <w:p>
      <w:pPr>
        <w:spacing w:line="56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委托承办单位：北京长训教育科技有限公司</w:t>
      </w:r>
    </w:p>
    <w:p>
      <w:pPr>
        <w:spacing w:line="560" w:lineRule="exact"/>
        <w:ind w:firstLine="602" w:firstLineChars="200"/>
        <w:jc w:val="both"/>
        <w:rPr>
          <w:rFonts w:ascii="仿宋_GB2312" w:hAnsi="仿宋_GB2312" w:eastAsia="仿宋_GB2312" w:cs="仿宋_GB2312"/>
          <w:b/>
          <w:bCs/>
          <w:color w:val="000000"/>
          <w:sz w:val="30"/>
          <w:szCs w:val="30"/>
        </w:rPr>
      </w:pPr>
    </w:p>
    <w:p>
      <w:pPr>
        <w:spacing w:line="560" w:lineRule="exact"/>
        <w:ind w:left="596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  <w:shd w:val="clear" w:color="auto" w:fill="FFFFFF"/>
        </w:rPr>
        <w:t>一、培训时间、地点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第1期  2020年3月19日—22日（19日报到）   杭州市 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第2期  2020年4月16日—19日（16日报到）   桂林市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第3期  2020年5月14日—17日（14日报到）   成都市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第4期  2020年6月18日—21日（18日报到）   厦门市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 xml:space="preserve">第5期  2020年7月16日—19日（16日报到）   昆明市 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第6期  2020年8月13日—16日（13日报到）   大连市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第7期  2020年9月17日—20日（17日报到）   北京市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第8期  2020年10月15日—18日（15日报到）  重庆市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第9期  2020年11月19日—22日（19日报到）  上海市</w:t>
      </w:r>
    </w:p>
    <w:p>
      <w:pPr>
        <w:adjustRightInd w:val="0"/>
        <w:snapToGrid w:val="0"/>
        <w:spacing w:line="52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第10期  2020年12月10日—13日（10日报到） 广州市</w:t>
      </w:r>
    </w:p>
    <w:p>
      <w:pPr>
        <w:adjustRightInd w:val="0"/>
        <w:snapToGrid w:val="0"/>
        <w:spacing w:line="56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二、培训师资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财政部、银保监会参与会计准则制定的相关专家，著名银行业金融机构中实战经验丰富的总会计师、首席财务官等，中国财政科学研究院、国家会计学院、知名财经高等院校，四大会计师事务所的权威专家和全国会计领军人才等。</w:t>
      </w:r>
    </w:p>
    <w:p>
      <w:pPr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三、培训对象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(一)银行业财务管理工作分管领导，财务部、会计结算部、风控部、资产管理部、信贷部、信息技术部等负责人和业务骨干；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(二)监管机构和行业组织相关业务负责人；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(三)各高等院校从事会计教学的教师、专业带头人和科研人员。</w:t>
      </w:r>
    </w:p>
    <w:p>
      <w:pPr>
        <w:spacing w:line="560" w:lineRule="exact"/>
        <w:ind w:firstLine="602" w:firstLineChars="200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四、培训内容</w:t>
      </w:r>
    </w:p>
    <w:p>
      <w:pPr>
        <w:adjustRightInd w:val="0"/>
        <w:snapToGrid w:val="0"/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模块一：银行业会计准则发展趋势前瞻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当前经济金融形势及银行运行情况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国际财务报告准则的全面改革和修订动态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我国会计准则国际趋同及未来发展趋势</w:t>
      </w:r>
    </w:p>
    <w:p>
      <w:pPr>
        <w:adjustRightInd w:val="0"/>
        <w:snapToGrid w:val="0"/>
        <w:spacing w:line="560" w:lineRule="exact"/>
        <w:ind w:firstLine="602" w:firstLineChars="200"/>
        <w:jc w:val="both"/>
        <w:rPr>
          <w:rFonts w:hint="eastAsia"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模块二：新金融工具准则22号、23号、24号和37号解读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新金融工具准则及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应用指南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重点内容解析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金融工具分类与计量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金融工具减值的预期信用损失模型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金融资产转移、相应会计处理及保理、资产证券化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套期会计准则新旧变化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金融工具列报</w:t>
      </w:r>
    </w:p>
    <w:p>
      <w:pPr>
        <w:adjustRightInd w:val="0"/>
        <w:snapToGrid w:val="0"/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模块三：新金融工具会计准则实务案例解析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银行业执行新金融工具准则问题与监管口径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《永续债相关会计处理的规定》应用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新金融工具准则应用典型误区案例解析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执行新准则对银行业财务报表列报的影响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执行新准则对银行业商业模式、投融资安排等的影响</w:t>
      </w:r>
    </w:p>
    <w:p>
      <w:pPr>
        <w:adjustRightInd w:val="0"/>
        <w:snapToGrid w:val="0"/>
        <w:spacing w:line="560" w:lineRule="exact"/>
        <w:ind w:firstLine="602" w:firstLineChars="200"/>
        <w:jc w:val="both"/>
        <w:rPr>
          <w:rFonts w:ascii="仿宋" w:hAnsi="仿宋" w:eastAsia="仿宋" w:cs="仿宋_GB2312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模块四：其他新修订、新发布会计准则解读与应用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新收入准则、新租赁准则全面解读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新非货币性资产交换准则、新债务重组准则全面解读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2020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企业会计准则修订及更新解读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2020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准则指南、征求意见稿和其他会计规定解读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新企业会计准则体系下的会计核算</w:t>
      </w:r>
    </w:p>
    <w:p>
      <w:pPr>
        <w:adjustRightInd w:val="0"/>
        <w:snapToGrid w:val="0"/>
        <w:spacing w:line="560" w:lineRule="exact"/>
        <w:ind w:firstLine="600" w:firstLineChars="20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_GB2312" w:hAnsi="MS Gothic" w:eastAsia="MS Gothic" w:cs="MS Gothic"/>
          <w:color w:val="000000"/>
          <w:sz w:val="30"/>
          <w:szCs w:val="30"/>
        </w:rPr>
        <w:t>▪</w:t>
      </w:r>
      <w:r>
        <w:rPr>
          <w:rFonts w:hint="eastAsia" w:ascii="仿宋_GB2312" w:hAnsi="仿宋_GB2312" w:eastAsia="仿宋_GB2312" w:cs="仿宋_GB2312"/>
          <w:bCs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新企业会计准则体系下的涉税应对</w:t>
      </w:r>
    </w:p>
    <w:p>
      <w:pPr>
        <w:spacing w:line="560" w:lineRule="exact"/>
        <w:ind w:firstLine="599" w:firstLineChars="199"/>
        <w:rPr>
          <w:rFonts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五、培训证书</w:t>
      </w:r>
    </w:p>
    <w:p>
      <w:pPr>
        <w:spacing w:line="560" w:lineRule="exact"/>
        <w:ind w:left="496" w:leftChars="248" w:firstLine="150" w:firstLineChars="50"/>
        <w:jc w:val="both"/>
        <w:rPr>
          <w:rFonts w:hint="eastAsia"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培训班学习期满，颁发中国总会计师协会《培训结业证书》。</w:t>
      </w:r>
    </w:p>
    <w:p>
      <w:pPr>
        <w:spacing w:line="560" w:lineRule="exact"/>
        <w:ind w:firstLine="596" w:firstLineChars="198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六、</w:t>
      </w:r>
      <w:r>
        <w:rPr>
          <w:rFonts w:hint="eastAsia" w:ascii="仿宋" w:hAnsi="仿宋" w:eastAsia="仿宋" w:cs="仿宋_GB2312"/>
          <w:b/>
          <w:color w:val="000000"/>
          <w:sz w:val="30"/>
          <w:szCs w:val="30"/>
        </w:rPr>
        <w:t>收费标准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z w:val="30"/>
          <w:szCs w:val="30"/>
        </w:rPr>
        <w:t>培训费2980元/人；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食宿统一安排，费用自理；往返交通及费用由参会单位或个人自行办理。报名人员可在培训班开始前一周将费用汇至委托承办单位账户，并将银行汇款凭证发邮件至会务组，以便开具增值税专用发票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培训班也接受现场缴费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收款单位户名：北京长训教育科技有限公司</w:t>
      </w:r>
    </w:p>
    <w:p>
      <w:pPr>
        <w:spacing w:line="560" w:lineRule="exact"/>
        <w:ind w:firstLine="60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开户银行：中国工商银行股份有限公司北京科技园支行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账号：0200 2964 0920 0239 547</w:t>
      </w:r>
    </w:p>
    <w:p>
      <w:pPr>
        <w:spacing w:line="560" w:lineRule="exact"/>
        <w:ind w:firstLine="599" w:firstLineChars="199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</w:p>
    <w:p>
      <w:pPr>
        <w:spacing w:line="560" w:lineRule="exact"/>
        <w:ind w:firstLine="599" w:firstLineChars="199"/>
        <w:jc w:val="both"/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/>
          <w:bCs/>
          <w:color w:val="000000"/>
          <w:sz w:val="30"/>
          <w:szCs w:val="30"/>
        </w:rPr>
        <w:t>七、报名及联系方式</w:t>
      </w:r>
    </w:p>
    <w:p>
      <w:pPr>
        <w:spacing w:line="56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spacing w:line="56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(二) 参训学员填写报名回执,</w:t>
      </w:r>
      <w:r>
        <w:rPr>
          <w:rFonts w:hint="eastAsia" w:ascii="仿宋" w:hAnsi="仿宋" w:eastAsia="仿宋"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加盖公章，务必于培训班开始前一周发邮件至会务组。收到回执后,会务组将回信确认报名成功。</w:t>
      </w:r>
    </w:p>
    <w:p>
      <w:pPr>
        <w:spacing w:line="56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(三)咨询电话：010-52262775   52262788</w:t>
      </w:r>
    </w:p>
    <w:p>
      <w:pPr>
        <w:spacing w:line="56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13911137571（微信同号）  88191832（中总协培训部）</w:t>
      </w:r>
    </w:p>
    <w:p>
      <w:pPr>
        <w:spacing w:line="56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报名邮箱：3039056115@qq.com</w:t>
      </w:r>
    </w:p>
    <w:p>
      <w:pPr>
        <w:spacing w:line="56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报名传真：010-52262787   52262790</w:t>
      </w:r>
    </w:p>
    <w:p>
      <w:pPr>
        <w:spacing w:line="560" w:lineRule="exact"/>
        <w:ind w:firstLine="597" w:firstLineChars="199"/>
        <w:jc w:val="both"/>
        <w:rPr>
          <w:rFonts w:hint="eastAsia" w:ascii="仿宋" w:hAnsi="仿宋" w:eastAsia="仿宋" w:cs="仿宋_GB2312"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_GB2312"/>
          <w:bCs/>
          <w:color w:val="000000"/>
          <w:sz w:val="30"/>
          <w:szCs w:val="30"/>
        </w:rPr>
        <w:t>联 系 人：徐黎明  周正  谢祥龙  桑立强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314E9"/>
    <w:rsid w:val="4CE3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2020-01-14T07:18:00Z</dcterms:created>
  <dc:creator>桑立强</dc:creator>
  <cp:lastModifiedBy>桑立强</cp:lastModifiedBy>
  <dcterms:modified xsi:type="dcterms:W3CDTF">2020-01-14T07:18:55Z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