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新闻出版业财务管理培训班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52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2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主管主办单位：中国总会计师协会</w:t>
      </w:r>
    </w:p>
    <w:p>
      <w:pPr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委托承办单位：北京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2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20" w:lineRule="exact"/>
        <w:ind w:left="596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第1期  2020年3月18日—21日（18日报到）  杭州市 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2020年5月20日—23日（20日报到）  成都市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2020年7月15日—18日（15日报到）  大连市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2020年9月16日—19日（16日报到）  桂林市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第5期  2020年11月18日—21日（18日报到） 厦门市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30"/>
          <w:szCs w:val="30"/>
        </w:rPr>
        <w:t>财政部、国家税务总局相关专家，国内外著名新闻出版集团中实战经验丰富的总会计师、首席财务官等，中国财政科学研究院、国家会计学院、知名财经高等院校，四大会计师事务所的权威专家和全国会计领军人才等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三、参训对象</w:t>
      </w:r>
    </w:p>
    <w:p>
      <w:pPr>
        <w:spacing w:line="520" w:lineRule="exact"/>
        <w:ind w:firstLine="597" w:firstLineChars="19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各出版、发行、印刷、报业、期刊、广电集团及所属企业分管资本运营和财务工作领导，财务会计高级管理人员和业务骨干。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四、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培训课程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模块一：新形势下新闻出版业财务管理改革发展趋势分析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2020年新闻出版业经济政策解读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文化体制改革综合配套政策解读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财务转型：从财务会计到管理会计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“大智移云”下的会计变革转型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新闻出版新业态对财务管理的挑战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模块二：新企业会计准则解读与应用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新金融工具和新收入准则解读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其他新发布、修订企业会计准则解读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新旧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会计制度（准则）衔接的重点难点问题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新准则下财务战略的合理选用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模块三：新闻出版机构财务管理实务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主要会计科目核算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全面预算管理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筹资、投资、营运资本管理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收入、成本、利润管理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财务报表编制与分析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绩效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评价管理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模块四：新闻出版机构财务内部控制与风险管理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财务工作内部控制制度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财务工作基本规范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MS Gothic" w:cs="MS Gothic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财务风险预警、防范与化解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MS Gothic" w:cs="MS Gothic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MS Gothic" w:cs="MS Gothic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财务管理中的法律风险防</w:t>
      </w:r>
      <w:r>
        <w:rPr>
          <w:rFonts w:hint="eastAsia" w:ascii="仿宋_GB2312" w:hAnsi="MS Gothic" w:cs="MS Gothic"/>
          <w:sz w:val="30"/>
          <w:szCs w:val="30"/>
        </w:rPr>
        <w:t>范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MS Gothic" w:cs="MS Gothic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基于风险的财务战略选择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模块五：新闻出版机构税务筹划最佳实践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企业增值税、营业税与所得税等最新政策解读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涉税风险及防范要点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电子发票使用推广实践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税收筹划经典案例解析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新收入准则实施后纳税筹划的调整</w:t>
      </w:r>
    </w:p>
    <w:p>
      <w:pPr>
        <w:spacing w:line="520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模块六：新闻出版机构财会卓越领导力提升专题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战略思维、改革思维、法治思维提升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高效财务管理团队建设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领导力与执行力</w:t>
      </w:r>
    </w:p>
    <w:p>
      <w:pPr>
        <w:spacing w:line="520" w:lineRule="exact"/>
        <w:ind w:firstLine="602" w:firstLineChars="200"/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sz w:val="30"/>
          <w:szCs w:val="30"/>
        </w:rPr>
        <w:t>模块七：业务交流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从业经验交流</w:t>
      </w:r>
    </w:p>
    <w:p>
      <w:pPr>
        <w:spacing w:line="520" w:lineRule="exact"/>
        <w:ind w:firstLine="600" w:firstLineChars="20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专家及与会代表现场点评</w:t>
      </w:r>
    </w:p>
    <w:p>
      <w:pPr>
        <w:spacing w:line="520" w:lineRule="exact"/>
        <w:ind w:firstLine="599" w:firstLineChars="199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五、培训证书</w:t>
      </w:r>
    </w:p>
    <w:p>
      <w:pPr>
        <w:spacing w:line="520" w:lineRule="exact"/>
        <w:ind w:left="496" w:leftChars="248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20" w:lineRule="exact"/>
        <w:ind w:firstLine="602" w:firstLineChars="200"/>
        <w:rPr>
          <w:rFonts w:ascii="仿宋_GB2312" w:hAnsi="仿宋_GB2312" w:eastAsia="仿宋_GB2312" w:cs="仿宋_GB2312"/>
          <w:b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六、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收费标准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培训班也接受现场缴费。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收款单位户名：北京长训教育科技有限公司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开户银行：中国工商银行股份有限公司北京科技园支行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账号：0200 2964 0920 0239 547</w:t>
      </w:r>
    </w:p>
    <w:p>
      <w:pPr>
        <w:spacing w:line="520" w:lineRule="exact"/>
        <w:ind w:firstLine="599" w:firstLineChars="199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报名传真：010-52262787   52262790</w:t>
      </w:r>
    </w:p>
    <w:p>
      <w:pPr>
        <w:ind w:firstLine="60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>联 系 人：徐黎明  周正  谢祥龙  桑立强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87163"/>
    <w:rsid w:val="3B5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2020-01-14T07:15:00Z</dcterms:created>
  <dc:creator>桑立强</dc:creator>
  <cp:lastModifiedBy>桑立强</cp:lastModifiedBy>
  <dcterms:modified xsi:type="dcterms:W3CDTF">2020-01-14T07:16:07Z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