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eastAsia="仿宋_GB2312"/>
          <w:sz w:val="28"/>
          <w:szCs w:val="28"/>
        </w:rPr>
      </w:pPr>
      <w:r>
        <w:rPr>
          <w:rFonts w:hint="eastAsia" w:ascii="仿宋_GB2312" w:eastAsia="仿宋_GB2312"/>
          <w:sz w:val="28"/>
          <w:szCs w:val="28"/>
        </w:rPr>
        <w:t>附件1：</w:t>
      </w:r>
    </w:p>
    <w:p>
      <w:pPr>
        <w:spacing w:line="500" w:lineRule="exact"/>
        <w:ind w:left="630" w:leftChars="300" w:right="630" w:rightChars="300"/>
        <w:jc w:val="center"/>
        <w:rPr>
          <w:rFonts w:ascii="宋体" w:hAnsi="宋体"/>
          <w:b/>
          <w:kern w:val="0"/>
          <w:sz w:val="32"/>
          <w:szCs w:val="32"/>
          <w:highlight w:val="none"/>
        </w:rPr>
      </w:pPr>
      <w:r>
        <w:rPr>
          <w:rFonts w:hint="eastAsia" w:ascii="宋体" w:hAnsi="宋体"/>
          <w:b/>
          <w:kern w:val="0"/>
          <w:sz w:val="32"/>
          <w:szCs w:val="32"/>
          <w:highlight w:val="none"/>
        </w:rPr>
        <w:t>《经济责任审计、内部审计实操与防范职业舞弊、识别财务造假专题培训班》工作方案</w:t>
      </w:r>
    </w:p>
    <w:p>
      <w:pPr>
        <w:spacing w:before="156" w:beforeLines="50" w:line="500" w:lineRule="exact"/>
        <w:ind w:firstLine="562" w:firstLineChars="200"/>
        <w:rPr>
          <w:rFonts w:ascii="仿宋_GB2312" w:eastAsia="仿宋_GB2312"/>
          <w:sz w:val="28"/>
          <w:szCs w:val="28"/>
        </w:rPr>
      </w:pPr>
      <w:r>
        <w:rPr>
          <w:rFonts w:hint="eastAsia" w:ascii="仿宋_GB2312" w:eastAsia="仿宋_GB2312"/>
          <w:b/>
          <w:sz w:val="28"/>
          <w:szCs w:val="28"/>
        </w:rPr>
        <w:t>主管主办单位：</w:t>
      </w:r>
      <w:r>
        <w:rPr>
          <w:rFonts w:hint="eastAsia" w:ascii="仿宋_GB2312" w:eastAsia="仿宋_GB2312"/>
          <w:sz w:val="28"/>
          <w:szCs w:val="28"/>
        </w:rPr>
        <w:t>中国总会计师协会</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委托承办单位：</w:t>
      </w:r>
      <w:r>
        <w:rPr>
          <w:rFonts w:hint="eastAsia" w:ascii="仿宋_GB2312" w:eastAsia="仿宋_GB2312"/>
          <w:sz w:val="28"/>
          <w:szCs w:val="28"/>
        </w:rPr>
        <w:t>北京国培创新教育科技股份有限公司（国培机构）</w:t>
      </w:r>
    </w:p>
    <w:p>
      <w:pPr>
        <w:spacing w:before="156" w:beforeLines="50" w:after="312" w:afterLines="100" w:line="500" w:lineRule="exact"/>
        <w:ind w:firstLine="650" w:firstLineChars="249"/>
        <w:rPr>
          <w:rFonts w:ascii="黑体" w:hAnsi="黑体" w:eastAsia="黑体"/>
          <w:b/>
          <w:spacing w:val="-10"/>
          <w:sz w:val="28"/>
          <w:szCs w:val="28"/>
        </w:rPr>
      </w:pPr>
      <w:r>
        <w:rPr>
          <w:rFonts w:hint="eastAsia" w:ascii="黑体" w:hAnsi="黑体" w:eastAsia="黑体"/>
          <w:b/>
          <w:spacing w:val="-10"/>
          <w:sz w:val="28"/>
          <w:szCs w:val="28"/>
        </w:rPr>
        <w:t>一、时间地点</w:t>
      </w:r>
    </w:p>
    <w:tbl>
      <w:tblPr>
        <w:tblStyle w:val="2"/>
        <w:tblW w:w="5488" w:type="dxa"/>
        <w:jc w:val="center"/>
        <w:tblLayout w:type="fixed"/>
        <w:tblCellMar>
          <w:top w:w="0" w:type="dxa"/>
          <w:left w:w="108" w:type="dxa"/>
          <w:bottom w:w="0" w:type="dxa"/>
          <w:right w:w="108" w:type="dxa"/>
        </w:tblCellMar>
      </w:tblPr>
      <w:tblGrid>
        <w:gridCol w:w="2887"/>
        <w:gridCol w:w="2601"/>
      </w:tblGrid>
      <w:tr>
        <w:tblPrEx>
          <w:tblCellMar>
            <w:top w:w="0" w:type="dxa"/>
            <w:left w:w="108" w:type="dxa"/>
            <w:bottom w:w="0" w:type="dxa"/>
            <w:right w:w="108" w:type="dxa"/>
          </w:tblCellMar>
        </w:tblPrEx>
        <w:trPr>
          <w:trHeight w:val="510" w:hRule="exact"/>
          <w:jc w:val="center"/>
        </w:trPr>
        <w:tc>
          <w:tcPr>
            <w:tcW w:w="2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bCs/>
                <w:color w:val="000000"/>
                <w:kern w:val="0"/>
                <w:sz w:val="24"/>
              </w:rPr>
            </w:pPr>
            <w:r>
              <w:rPr>
                <w:rFonts w:hint="eastAsia" w:ascii="仿宋_GB2312" w:eastAsia="仿宋_GB2312" w:cs="宋体" w:hAnsiTheme="minorEastAsia"/>
                <w:bCs/>
                <w:color w:val="000000"/>
                <w:kern w:val="0"/>
                <w:sz w:val="24"/>
              </w:rPr>
              <w:t>时间</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hAnsiTheme="minorEastAsia"/>
                <w:bCs/>
                <w:color w:val="000000"/>
                <w:kern w:val="0"/>
                <w:sz w:val="24"/>
              </w:rPr>
            </w:pPr>
            <w:r>
              <w:rPr>
                <w:rFonts w:hint="eastAsia" w:ascii="仿宋_GB2312" w:eastAsia="仿宋_GB2312" w:cs="宋体" w:hAnsiTheme="minorEastAsia"/>
                <w:bCs/>
                <w:color w:val="000000"/>
                <w:kern w:val="0"/>
                <w:sz w:val="24"/>
              </w:rPr>
              <w:t>地点</w:t>
            </w:r>
          </w:p>
        </w:tc>
      </w:tr>
      <w:tr>
        <w:tblPrEx>
          <w:tblCellMar>
            <w:top w:w="0" w:type="dxa"/>
            <w:left w:w="108" w:type="dxa"/>
            <w:bottom w:w="0" w:type="dxa"/>
            <w:right w:w="108" w:type="dxa"/>
          </w:tblCellMar>
        </w:tblPrEx>
        <w:trPr>
          <w:trHeight w:val="454" w:hRule="exact"/>
          <w:jc w:val="center"/>
        </w:trPr>
        <w:tc>
          <w:tcPr>
            <w:tcW w:w="288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5月13日-18日</w:t>
            </w:r>
          </w:p>
        </w:tc>
        <w:tc>
          <w:tcPr>
            <w:tcW w:w="2601" w:type="dxa"/>
            <w:tcBorders>
              <w:top w:val="nil"/>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成都</w:t>
            </w:r>
          </w:p>
        </w:tc>
      </w:tr>
      <w:tr>
        <w:tblPrEx>
          <w:tblCellMar>
            <w:top w:w="0" w:type="dxa"/>
            <w:left w:w="108" w:type="dxa"/>
            <w:bottom w:w="0" w:type="dxa"/>
            <w:right w:w="108" w:type="dxa"/>
          </w:tblCellMar>
        </w:tblPrEx>
        <w:trPr>
          <w:trHeight w:val="454" w:hRule="exact"/>
          <w:jc w:val="center"/>
        </w:trPr>
        <w:tc>
          <w:tcPr>
            <w:tcW w:w="288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6月10日-15日</w:t>
            </w:r>
          </w:p>
        </w:tc>
        <w:tc>
          <w:tcPr>
            <w:tcW w:w="2601" w:type="dxa"/>
            <w:tcBorders>
              <w:top w:val="nil"/>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厦门</w:t>
            </w:r>
          </w:p>
        </w:tc>
      </w:tr>
      <w:tr>
        <w:tblPrEx>
          <w:tblCellMar>
            <w:top w:w="0" w:type="dxa"/>
            <w:left w:w="108" w:type="dxa"/>
            <w:bottom w:w="0" w:type="dxa"/>
            <w:right w:w="108" w:type="dxa"/>
          </w:tblCellMar>
        </w:tblPrEx>
        <w:trPr>
          <w:trHeight w:val="454" w:hRule="exact"/>
          <w:jc w:val="center"/>
        </w:trPr>
        <w:tc>
          <w:tcPr>
            <w:tcW w:w="288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7月15日-20日</w:t>
            </w:r>
          </w:p>
        </w:tc>
        <w:tc>
          <w:tcPr>
            <w:tcW w:w="2601" w:type="dxa"/>
            <w:tcBorders>
              <w:top w:val="nil"/>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青岛</w:t>
            </w:r>
          </w:p>
        </w:tc>
      </w:tr>
      <w:tr>
        <w:tblPrEx>
          <w:tblCellMar>
            <w:top w:w="0" w:type="dxa"/>
            <w:left w:w="108" w:type="dxa"/>
            <w:bottom w:w="0" w:type="dxa"/>
            <w:right w:w="108" w:type="dxa"/>
          </w:tblCellMar>
        </w:tblPrEx>
        <w:trPr>
          <w:trHeight w:val="454" w:hRule="exact"/>
          <w:jc w:val="center"/>
        </w:trPr>
        <w:tc>
          <w:tcPr>
            <w:tcW w:w="288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8月19日-24日</w:t>
            </w:r>
          </w:p>
        </w:tc>
        <w:tc>
          <w:tcPr>
            <w:tcW w:w="2601" w:type="dxa"/>
            <w:tcBorders>
              <w:top w:val="nil"/>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昆明</w:t>
            </w:r>
          </w:p>
        </w:tc>
      </w:tr>
      <w:tr>
        <w:tblPrEx>
          <w:tblCellMar>
            <w:top w:w="0" w:type="dxa"/>
            <w:left w:w="108" w:type="dxa"/>
            <w:bottom w:w="0" w:type="dxa"/>
            <w:right w:w="108" w:type="dxa"/>
          </w:tblCellMar>
        </w:tblPrEx>
        <w:trPr>
          <w:trHeight w:val="454" w:hRule="exact"/>
          <w:jc w:val="center"/>
        </w:trPr>
        <w:tc>
          <w:tcPr>
            <w:tcW w:w="288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9月23日-28日</w:t>
            </w:r>
          </w:p>
        </w:tc>
        <w:tc>
          <w:tcPr>
            <w:tcW w:w="2601" w:type="dxa"/>
            <w:tcBorders>
              <w:top w:val="nil"/>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南京</w:t>
            </w:r>
          </w:p>
        </w:tc>
      </w:tr>
      <w:tr>
        <w:tblPrEx>
          <w:tblCellMar>
            <w:top w:w="0" w:type="dxa"/>
            <w:left w:w="108" w:type="dxa"/>
            <w:bottom w:w="0" w:type="dxa"/>
            <w:right w:w="108" w:type="dxa"/>
          </w:tblCellMar>
        </w:tblPrEx>
        <w:trPr>
          <w:trHeight w:val="454" w:hRule="exact"/>
          <w:jc w:val="center"/>
        </w:trPr>
        <w:tc>
          <w:tcPr>
            <w:tcW w:w="288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10月21日-26日</w:t>
            </w:r>
          </w:p>
        </w:tc>
        <w:tc>
          <w:tcPr>
            <w:tcW w:w="2601" w:type="dxa"/>
            <w:tcBorders>
              <w:top w:val="nil"/>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厦门</w:t>
            </w:r>
          </w:p>
        </w:tc>
      </w:tr>
      <w:tr>
        <w:tblPrEx>
          <w:tblCellMar>
            <w:top w:w="0" w:type="dxa"/>
            <w:left w:w="108" w:type="dxa"/>
            <w:bottom w:w="0" w:type="dxa"/>
            <w:right w:w="108" w:type="dxa"/>
          </w:tblCellMar>
        </w:tblPrEx>
        <w:trPr>
          <w:trHeight w:val="454" w:hRule="exact"/>
          <w:jc w:val="center"/>
        </w:trPr>
        <w:tc>
          <w:tcPr>
            <w:tcW w:w="288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11月11日-16日</w:t>
            </w:r>
          </w:p>
        </w:tc>
        <w:tc>
          <w:tcPr>
            <w:tcW w:w="2601" w:type="dxa"/>
            <w:tcBorders>
              <w:top w:val="nil"/>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上海</w:t>
            </w:r>
          </w:p>
        </w:tc>
      </w:tr>
      <w:tr>
        <w:tblPrEx>
          <w:tblCellMar>
            <w:top w:w="0" w:type="dxa"/>
            <w:left w:w="108" w:type="dxa"/>
            <w:bottom w:w="0" w:type="dxa"/>
            <w:right w:w="108" w:type="dxa"/>
          </w:tblCellMar>
        </w:tblPrEx>
        <w:trPr>
          <w:trHeight w:val="454" w:hRule="exact"/>
          <w:jc w:val="center"/>
        </w:trPr>
        <w:tc>
          <w:tcPr>
            <w:tcW w:w="2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12月16日-21日</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hAnsiTheme="minorEastAsia"/>
                <w:kern w:val="0"/>
                <w:sz w:val="24"/>
              </w:rPr>
            </w:pPr>
            <w:r>
              <w:rPr>
                <w:rFonts w:hint="eastAsia" w:ascii="仿宋_GB2312" w:eastAsia="仿宋_GB2312" w:cs="宋体" w:hAnsiTheme="minorEastAsia"/>
                <w:kern w:val="0"/>
                <w:sz w:val="24"/>
              </w:rPr>
              <w:t>重庆</w:t>
            </w:r>
          </w:p>
        </w:tc>
      </w:tr>
    </w:tbl>
    <w:p>
      <w:pPr>
        <w:tabs>
          <w:tab w:val="left" w:pos="1620"/>
          <w:tab w:val="left" w:pos="1800"/>
        </w:tabs>
        <w:spacing w:before="93" w:beforeLines="30" w:line="500" w:lineRule="exact"/>
        <w:jc w:val="left"/>
        <w:rPr>
          <w:rFonts w:ascii="仿宋_GB2312" w:hAnsi="宋体" w:eastAsia="仿宋_GB2312"/>
          <w:sz w:val="28"/>
          <w:szCs w:val="28"/>
        </w:rPr>
      </w:pPr>
      <w:r>
        <w:rPr>
          <w:rFonts w:hint="eastAsia" w:ascii="仿宋_GB2312" w:eastAsia="仿宋_GB2312"/>
          <w:sz w:val="28"/>
          <w:szCs w:val="28"/>
        </w:rPr>
        <w:t>注：</w:t>
      </w:r>
      <w:r>
        <w:rPr>
          <w:rFonts w:hint="eastAsia" w:ascii="仿宋_GB2312" w:hAnsi="宋体" w:eastAsia="仿宋_GB2312"/>
          <w:sz w:val="28"/>
          <w:szCs w:val="28"/>
        </w:rPr>
        <w:t>1、专题方案电子版请登录中国总会计师协会网站和国培财经网站获取；或致电010-</w:t>
      </w:r>
      <w:r>
        <w:rPr>
          <w:rFonts w:ascii="仿宋_GB2312" w:hAnsi="宋体" w:eastAsia="仿宋_GB2312"/>
          <w:sz w:val="28"/>
          <w:szCs w:val="28"/>
        </w:rPr>
        <w:t>53771881</w:t>
      </w:r>
      <w:r>
        <w:rPr>
          <w:rFonts w:hint="eastAsia" w:ascii="仿宋_GB2312" w:hAnsi="宋体" w:eastAsia="仿宋_GB2312"/>
          <w:sz w:val="28"/>
          <w:szCs w:val="28"/>
        </w:rPr>
        <w:t>、</w:t>
      </w:r>
      <w:r>
        <w:rPr>
          <w:rFonts w:ascii="仿宋_GB2312" w:eastAsia="仿宋_GB2312"/>
          <w:sz w:val="28"/>
          <w:szCs w:val="28"/>
        </w:rPr>
        <w:t>5377188</w:t>
      </w:r>
      <w:r>
        <w:rPr>
          <w:rFonts w:hint="eastAsia" w:ascii="仿宋_GB2312" w:eastAsia="仿宋_GB2312"/>
          <w:sz w:val="28"/>
          <w:szCs w:val="28"/>
        </w:rPr>
        <w:t>2</w:t>
      </w:r>
      <w:r>
        <w:rPr>
          <w:rFonts w:hint="eastAsia" w:ascii="仿宋_GB2312" w:hAnsi="宋体" w:eastAsia="仿宋_GB2312"/>
          <w:sz w:val="28"/>
          <w:szCs w:val="28"/>
        </w:rPr>
        <w:t>索取。</w:t>
      </w:r>
    </w:p>
    <w:p>
      <w:pPr>
        <w:tabs>
          <w:tab w:val="left" w:pos="1620"/>
          <w:tab w:val="left" w:pos="1800"/>
        </w:tabs>
        <w:spacing w:line="500" w:lineRule="exact"/>
        <w:ind w:firstLine="523" w:firstLineChars="187"/>
        <w:jc w:val="left"/>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color w:val="000000"/>
          <w:sz w:val="28"/>
          <w:szCs w:val="28"/>
        </w:rPr>
        <w:t>欢迎各会员单位和有关单位选择相关专题组织内训，我们将根据需求认真筹划、规范组织；烦请提前与我们联系，以预做准备。</w:t>
      </w:r>
    </w:p>
    <w:p>
      <w:pPr>
        <w:tabs>
          <w:tab w:val="left" w:pos="1620"/>
          <w:tab w:val="left" w:pos="1800"/>
        </w:tabs>
        <w:spacing w:line="500" w:lineRule="exact"/>
        <w:ind w:firstLine="523" w:firstLineChars="187"/>
        <w:jc w:val="left"/>
        <w:rPr>
          <w:rFonts w:ascii="仿宋_GB2312" w:eastAsia="仿宋_GB2312"/>
          <w:color w:val="000000"/>
          <w:sz w:val="28"/>
          <w:szCs w:val="28"/>
        </w:rPr>
      </w:pPr>
      <w:r>
        <w:rPr>
          <w:rFonts w:hint="eastAsia" w:ascii="仿宋_GB2312" w:hAnsi="宋体" w:eastAsia="仿宋_GB2312"/>
          <w:sz w:val="28"/>
          <w:szCs w:val="28"/>
        </w:rPr>
        <w:t>3、培训班具体地点，在开班一周前随《报到通知</w:t>
      </w:r>
      <w:r>
        <w:rPr>
          <w:rFonts w:hint="eastAsia" w:ascii="仿宋_GB2312" w:eastAsia="仿宋_GB2312"/>
          <w:color w:val="000000"/>
          <w:sz w:val="28"/>
          <w:szCs w:val="28"/>
        </w:rPr>
        <w:t>》告知。</w:t>
      </w:r>
    </w:p>
    <w:p>
      <w:pPr>
        <w:spacing w:before="156" w:beforeLines="50" w:after="312" w:afterLines="100" w:line="500" w:lineRule="exact"/>
        <w:ind w:firstLine="650" w:firstLineChars="249"/>
        <w:rPr>
          <w:rFonts w:ascii="黑体" w:hAnsi="黑体" w:eastAsia="黑体"/>
          <w:b/>
          <w:spacing w:val="-10"/>
          <w:sz w:val="28"/>
          <w:szCs w:val="28"/>
        </w:rPr>
      </w:pPr>
      <w:r>
        <w:rPr>
          <w:rFonts w:hint="eastAsia" w:ascii="黑体" w:hAnsi="黑体" w:eastAsia="黑体"/>
          <w:b/>
          <w:spacing w:val="-10"/>
          <w:sz w:val="28"/>
          <w:szCs w:val="28"/>
        </w:rPr>
        <w:t>二、培训内容</w:t>
      </w:r>
    </w:p>
    <w:p>
      <w:pPr>
        <w:tabs>
          <w:tab w:val="left" w:pos="1620"/>
          <w:tab w:val="left" w:pos="1800"/>
        </w:tabs>
        <w:spacing w:before="93" w:beforeLines="30" w:after="93" w:afterLines="30" w:line="500" w:lineRule="exact"/>
        <w:ind w:firstLine="562"/>
        <w:jc w:val="left"/>
        <w:rPr>
          <w:rFonts w:ascii="仿宋_GB2312" w:eastAsia="仿宋_GB2312" w:cs="仿宋_GB2312"/>
          <w:b/>
          <w:bCs/>
          <w:sz w:val="28"/>
          <w:szCs w:val="28"/>
        </w:rPr>
      </w:pPr>
      <w:r>
        <w:rPr>
          <w:rFonts w:hint="eastAsia" w:ascii="仿宋_GB2312" w:eastAsia="仿宋_GB2312" w:cs="仿宋_GB2312"/>
          <w:b/>
          <w:bCs/>
          <w:sz w:val="28"/>
          <w:szCs w:val="28"/>
        </w:rPr>
        <w:t>（一）审计相关准则规定解读</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1、《党政主要领导干部和国有企事业单位主要领导人员经济责任审计规定》重难点解读</w:t>
      </w:r>
    </w:p>
    <w:p>
      <w:pPr>
        <w:pStyle w:val="4"/>
        <w:tabs>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2、《内部审计基本准则——经济责任审计》解读与应用</w:t>
      </w:r>
    </w:p>
    <w:p>
      <w:pPr>
        <w:pStyle w:val="4"/>
        <w:tabs>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3、《</w:t>
      </w:r>
      <w:r>
        <w:rPr>
          <w:rFonts w:hint="eastAsia" w:ascii="仿宋_GB2312" w:hAnsi="宋体" w:eastAsia="仿宋_GB2312"/>
          <w:sz w:val="28"/>
          <w:szCs w:val="28"/>
        </w:rPr>
        <w:t>内部审计具体准则—内部审计业务外包管理》</w:t>
      </w:r>
      <w:r>
        <w:rPr>
          <w:rFonts w:hint="eastAsia" w:ascii="仿宋_GB2312" w:eastAsia="仿宋_GB2312" w:cs="仿宋_GB2312"/>
          <w:sz w:val="28"/>
          <w:szCs w:val="28"/>
        </w:rPr>
        <w:t>解读与应用</w:t>
      </w:r>
    </w:p>
    <w:p>
      <w:pPr>
        <w:pStyle w:val="4"/>
        <w:tabs>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4、审计署关于内部审计工作规定的亮点分析</w:t>
      </w:r>
    </w:p>
    <w:p>
      <w:pPr>
        <w:tabs>
          <w:tab w:val="left" w:pos="1620"/>
          <w:tab w:val="left" w:pos="1800"/>
        </w:tabs>
        <w:spacing w:before="93" w:beforeLines="30" w:after="93" w:afterLines="30" w:line="500" w:lineRule="exact"/>
        <w:ind w:firstLine="562"/>
        <w:jc w:val="left"/>
        <w:rPr>
          <w:rFonts w:ascii="仿宋_GB2312" w:eastAsia="仿宋_GB2312" w:cs="仿宋_GB2312"/>
          <w:b/>
          <w:bCs/>
          <w:sz w:val="28"/>
          <w:szCs w:val="28"/>
        </w:rPr>
      </w:pPr>
      <w:r>
        <w:rPr>
          <w:rFonts w:hint="eastAsia" w:ascii="仿宋_GB2312" w:eastAsia="仿宋_GB2312" w:cs="仿宋_GB2312"/>
          <w:b/>
          <w:bCs/>
          <w:sz w:val="28"/>
          <w:szCs w:val="28"/>
        </w:rPr>
        <w:t>（二）经济责任审计实务应用及案例分析</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1、经济责任审计的主要程序与方法</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2、经济责任审计的重点内容和审计方法</w:t>
      </w:r>
    </w:p>
    <w:p>
      <w:pPr>
        <w:pStyle w:val="4"/>
        <w:numPr>
          <w:ilvl w:val="0"/>
          <w:numId w:val="1"/>
        </w:numPr>
        <w:tabs>
          <w:tab w:val="left" w:pos="1620"/>
          <w:tab w:val="left" w:pos="1800"/>
        </w:tabs>
        <w:spacing w:line="500" w:lineRule="exact"/>
        <w:ind w:firstLineChars="0"/>
        <w:jc w:val="left"/>
        <w:rPr>
          <w:rFonts w:ascii="仿宋_GB2312" w:eastAsia="仿宋_GB2312" w:cs="仿宋_GB2312"/>
          <w:sz w:val="28"/>
          <w:szCs w:val="28"/>
        </w:rPr>
      </w:pPr>
      <w:r>
        <w:rPr>
          <w:rFonts w:hint="eastAsia" w:ascii="仿宋_GB2312" w:eastAsia="仿宋_GB2312" w:cs="仿宋_GB2312"/>
          <w:sz w:val="28"/>
          <w:szCs w:val="28"/>
        </w:rPr>
        <w:t>任期内财务收支与成本核算的合规性</w:t>
      </w:r>
    </w:p>
    <w:p>
      <w:pPr>
        <w:pStyle w:val="4"/>
        <w:numPr>
          <w:ilvl w:val="0"/>
          <w:numId w:val="1"/>
        </w:numPr>
        <w:tabs>
          <w:tab w:val="left" w:pos="1620"/>
          <w:tab w:val="left" w:pos="1800"/>
        </w:tabs>
        <w:spacing w:line="500" w:lineRule="exact"/>
        <w:ind w:firstLineChars="0"/>
        <w:jc w:val="left"/>
        <w:rPr>
          <w:rFonts w:ascii="仿宋_GB2312" w:eastAsia="仿宋_GB2312" w:cs="仿宋_GB2312"/>
          <w:sz w:val="28"/>
          <w:szCs w:val="28"/>
        </w:rPr>
      </w:pPr>
      <w:r>
        <w:rPr>
          <w:rFonts w:hint="eastAsia" w:ascii="仿宋_GB2312" w:eastAsia="仿宋_GB2312" w:cs="仿宋_GB2312"/>
          <w:sz w:val="28"/>
          <w:szCs w:val="28"/>
        </w:rPr>
        <w:t>主要经营（管理）指标的完成情况</w:t>
      </w:r>
    </w:p>
    <w:p>
      <w:pPr>
        <w:pStyle w:val="4"/>
        <w:numPr>
          <w:ilvl w:val="0"/>
          <w:numId w:val="1"/>
        </w:numPr>
        <w:tabs>
          <w:tab w:val="left" w:pos="1620"/>
          <w:tab w:val="left" w:pos="1800"/>
        </w:tabs>
        <w:spacing w:line="500" w:lineRule="exact"/>
        <w:ind w:firstLineChars="0"/>
        <w:jc w:val="left"/>
        <w:rPr>
          <w:rFonts w:ascii="仿宋_GB2312" w:eastAsia="仿宋_GB2312" w:cs="仿宋_GB2312"/>
          <w:sz w:val="28"/>
          <w:szCs w:val="28"/>
        </w:rPr>
      </w:pPr>
      <w:r>
        <w:rPr>
          <w:rFonts w:hint="eastAsia" w:ascii="仿宋_GB2312" w:eastAsia="仿宋_GB2312" w:cs="仿宋_GB2312"/>
          <w:sz w:val="28"/>
          <w:szCs w:val="28"/>
        </w:rPr>
        <w:t>所负责关键业务领域内部控制情况</w:t>
      </w:r>
    </w:p>
    <w:p>
      <w:pPr>
        <w:pStyle w:val="4"/>
        <w:numPr>
          <w:ilvl w:val="0"/>
          <w:numId w:val="1"/>
        </w:numPr>
        <w:tabs>
          <w:tab w:val="left" w:pos="1620"/>
          <w:tab w:val="left" w:pos="1800"/>
        </w:tabs>
        <w:spacing w:line="500" w:lineRule="exact"/>
        <w:ind w:firstLineChars="0"/>
        <w:jc w:val="left"/>
        <w:rPr>
          <w:rFonts w:ascii="仿宋_GB2312" w:eastAsia="仿宋_GB2312" w:cs="仿宋_GB2312"/>
          <w:sz w:val="28"/>
          <w:szCs w:val="28"/>
        </w:rPr>
      </w:pPr>
      <w:r>
        <w:rPr>
          <w:rFonts w:hint="eastAsia" w:ascii="仿宋_GB2312" w:eastAsia="仿宋_GB2312" w:cs="仿宋_GB2312"/>
          <w:sz w:val="28"/>
          <w:szCs w:val="28"/>
        </w:rPr>
        <w:t>三重一大决策实施情况</w:t>
      </w:r>
    </w:p>
    <w:p>
      <w:pPr>
        <w:pStyle w:val="4"/>
        <w:numPr>
          <w:ilvl w:val="0"/>
          <w:numId w:val="1"/>
        </w:numPr>
        <w:tabs>
          <w:tab w:val="left" w:pos="1620"/>
          <w:tab w:val="left" w:pos="1800"/>
        </w:tabs>
        <w:spacing w:line="500" w:lineRule="exact"/>
        <w:ind w:firstLineChars="0"/>
        <w:jc w:val="left"/>
        <w:rPr>
          <w:rFonts w:ascii="仿宋_GB2312" w:eastAsia="仿宋_GB2312" w:cs="仿宋_GB2312"/>
          <w:sz w:val="28"/>
          <w:szCs w:val="28"/>
        </w:rPr>
      </w:pPr>
      <w:r>
        <w:rPr>
          <w:rFonts w:hint="eastAsia" w:ascii="仿宋_GB2312" w:eastAsia="仿宋_GB2312" w:cs="仿宋_GB2312"/>
          <w:sz w:val="28"/>
          <w:szCs w:val="28"/>
        </w:rPr>
        <w:t>政策执行和促进可持续发展工作</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3、经济责任审计评价实施要点</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4、直接责任、领导责任、前任和后任的责任区分</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5、经济责任审计结果报告的框架结构、撰写注意事项</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6、经济责任审计结果的运用</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7、经济责任审计风险管理与质量控制</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8、经济责任审计案例分析</w:t>
      </w:r>
    </w:p>
    <w:p>
      <w:pPr>
        <w:tabs>
          <w:tab w:val="left" w:pos="1620"/>
          <w:tab w:val="left" w:pos="1800"/>
        </w:tabs>
        <w:spacing w:before="93" w:beforeLines="30" w:after="93" w:afterLines="30" w:line="500" w:lineRule="exact"/>
        <w:ind w:firstLine="562"/>
        <w:jc w:val="left"/>
        <w:rPr>
          <w:rFonts w:ascii="仿宋_GB2312" w:eastAsia="仿宋_GB2312" w:cs="仿宋_GB2312"/>
          <w:b/>
          <w:bCs/>
          <w:sz w:val="28"/>
          <w:szCs w:val="28"/>
        </w:rPr>
      </w:pPr>
      <w:r>
        <w:rPr>
          <w:rFonts w:hint="eastAsia" w:ascii="仿宋_GB2312" w:eastAsia="仿宋_GB2312" w:cs="仿宋_GB2312"/>
          <w:b/>
          <w:bCs/>
          <w:sz w:val="28"/>
          <w:szCs w:val="28"/>
        </w:rPr>
        <w:t>（三）内部审计实务应用及案例分析</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1、内部审计的基本程序</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2、内部审计的主要方法及重点</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3、内部审计的瓶颈问题</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4、内部审计中的沟通技巧与冲突管理</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5、内部审计报告</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6、内部审计案例分析</w:t>
      </w:r>
    </w:p>
    <w:p>
      <w:pPr>
        <w:tabs>
          <w:tab w:val="left" w:pos="1620"/>
          <w:tab w:val="left" w:pos="1800"/>
        </w:tabs>
        <w:spacing w:before="93" w:beforeLines="30" w:after="93" w:afterLines="30" w:line="500" w:lineRule="exact"/>
        <w:ind w:firstLine="562"/>
        <w:jc w:val="left"/>
        <w:rPr>
          <w:rFonts w:ascii="仿宋_GB2312" w:eastAsia="仿宋_GB2312" w:cs="仿宋_GB2312"/>
          <w:b/>
          <w:bCs/>
          <w:sz w:val="28"/>
          <w:szCs w:val="28"/>
        </w:rPr>
      </w:pPr>
      <w:r>
        <w:rPr>
          <w:rFonts w:hint="eastAsia" w:ascii="仿宋_GB2312" w:eastAsia="仿宋_GB2312" w:cs="仿宋_GB2312"/>
          <w:b/>
          <w:bCs/>
          <w:sz w:val="28"/>
          <w:szCs w:val="28"/>
        </w:rPr>
        <w:t>（四）</w:t>
      </w:r>
      <w:r>
        <w:rPr>
          <w:rFonts w:ascii="仿宋_GB2312" w:eastAsia="仿宋_GB2312" w:cs="仿宋_GB2312"/>
          <w:b/>
          <w:bCs/>
          <w:sz w:val="28"/>
          <w:szCs w:val="28"/>
        </w:rPr>
        <w:t>内部审计与廉政风险防范</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w:t>
      </w:r>
      <w:r>
        <w:rPr>
          <w:rFonts w:ascii="仿宋_GB2312" w:eastAsia="仿宋_GB2312" w:cs="仿宋_GB2312"/>
          <w:sz w:val="28"/>
          <w:szCs w:val="28"/>
        </w:rPr>
        <w:t>内部审计在廉政风险防范中的职责范围界定</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w:t>
      </w:r>
      <w:r>
        <w:rPr>
          <w:rFonts w:ascii="仿宋_GB2312" w:eastAsia="仿宋_GB2312" w:cs="仿宋_GB2312"/>
          <w:sz w:val="28"/>
          <w:szCs w:val="28"/>
        </w:rPr>
        <w:t>内部控制、内部审计与纪检监察关系梳理</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3、</w:t>
      </w:r>
      <w:r>
        <w:rPr>
          <w:rFonts w:ascii="仿宋_GB2312" w:eastAsia="仿宋_GB2312" w:cs="仿宋_GB2312"/>
          <w:sz w:val="28"/>
          <w:szCs w:val="28"/>
        </w:rPr>
        <w:t>经济犯罪和经济违纪的法律界定</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4、</w:t>
      </w:r>
      <w:r>
        <w:rPr>
          <w:rFonts w:ascii="仿宋_GB2312" w:eastAsia="仿宋_GB2312" w:cs="仿宋_GB2312"/>
          <w:sz w:val="28"/>
          <w:szCs w:val="28"/>
        </w:rPr>
        <w:t>外部巡视与审计工作的应对措施</w:t>
      </w:r>
    </w:p>
    <w:p>
      <w:pPr>
        <w:tabs>
          <w:tab w:val="left" w:pos="1620"/>
          <w:tab w:val="left" w:pos="1800"/>
        </w:tabs>
        <w:spacing w:before="93" w:beforeLines="30" w:after="93" w:afterLines="30" w:line="500" w:lineRule="exact"/>
        <w:ind w:firstLine="562"/>
        <w:jc w:val="left"/>
        <w:rPr>
          <w:rFonts w:ascii="仿宋_GB2312" w:eastAsia="仿宋_GB2312" w:cs="仿宋_GB2312"/>
          <w:b/>
          <w:sz w:val="28"/>
          <w:szCs w:val="28"/>
        </w:rPr>
      </w:pPr>
      <w:r>
        <w:rPr>
          <w:rFonts w:hint="eastAsia" w:ascii="仿宋_GB2312" w:eastAsia="仿宋_GB2312" w:cs="仿宋_GB2312"/>
          <w:b/>
          <w:sz w:val="28"/>
          <w:szCs w:val="28"/>
        </w:rPr>
        <w:t>（五）发现舞弊与财务造假</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1、舞弊的类型</w:t>
      </w:r>
    </w:p>
    <w:p>
      <w:pPr>
        <w:pStyle w:val="4"/>
        <w:numPr>
          <w:ilvl w:val="0"/>
          <w:numId w:val="2"/>
        </w:numPr>
        <w:tabs>
          <w:tab w:val="left" w:pos="1620"/>
          <w:tab w:val="left" w:pos="1800"/>
        </w:tabs>
        <w:spacing w:line="500" w:lineRule="exact"/>
        <w:ind w:firstLineChars="0"/>
        <w:jc w:val="left"/>
        <w:rPr>
          <w:rFonts w:ascii="仿宋_GB2312" w:eastAsia="仿宋_GB2312" w:cs="仿宋_GB2312"/>
          <w:sz w:val="28"/>
          <w:szCs w:val="28"/>
        </w:rPr>
      </w:pPr>
      <w:r>
        <w:rPr>
          <w:rFonts w:hint="eastAsia" w:ascii="仿宋_GB2312" w:eastAsia="仿宋_GB2312" w:cs="仿宋_GB2312"/>
          <w:sz w:val="28"/>
          <w:szCs w:val="28"/>
        </w:rPr>
        <w:t>舞弊调查手段</w:t>
      </w:r>
    </w:p>
    <w:p>
      <w:pPr>
        <w:pStyle w:val="4"/>
        <w:numPr>
          <w:ilvl w:val="0"/>
          <w:numId w:val="2"/>
        </w:numPr>
        <w:tabs>
          <w:tab w:val="left" w:pos="1620"/>
          <w:tab w:val="left" w:pos="1800"/>
        </w:tabs>
        <w:spacing w:line="500" w:lineRule="exact"/>
        <w:ind w:firstLineChars="0"/>
        <w:jc w:val="left"/>
        <w:rPr>
          <w:rFonts w:ascii="仿宋_GB2312" w:eastAsia="仿宋_GB2312" w:cs="仿宋_GB2312"/>
          <w:sz w:val="28"/>
          <w:szCs w:val="28"/>
        </w:rPr>
      </w:pPr>
      <w:r>
        <w:rPr>
          <w:rFonts w:hint="eastAsia" w:ascii="仿宋_GB2312" w:eastAsia="仿宋_GB2312" w:cs="仿宋_GB2312"/>
          <w:sz w:val="28"/>
          <w:szCs w:val="28"/>
        </w:rPr>
        <w:t>证据及证据链</w:t>
      </w:r>
    </w:p>
    <w:p>
      <w:pPr>
        <w:tabs>
          <w:tab w:val="left" w:pos="1620"/>
          <w:tab w:val="left" w:pos="1800"/>
          <w:tab w:val="left" w:pos="4962"/>
          <w:tab w:val="left" w:pos="5387"/>
        </w:tabs>
        <w:spacing w:line="500" w:lineRule="exact"/>
        <w:ind w:firstLine="1680" w:firstLineChars="600"/>
        <w:jc w:val="left"/>
        <w:rPr>
          <w:rFonts w:ascii="仿宋_GB2312" w:eastAsia="仿宋_GB2312"/>
          <w:sz w:val="28"/>
          <w:szCs w:val="28"/>
        </w:rPr>
      </w:pPr>
      <w:r>
        <w:rPr>
          <w:rFonts w:hint="eastAsia" w:ascii="仿宋_GB2312" w:eastAsia="仿宋_GB2312" w:cs="仿宋_GB2312"/>
          <w:sz w:val="28"/>
          <w:szCs w:val="28"/>
        </w:rPr>
        <w:t>◆证据的类型及特性     ◆再生证据</w:t>
      </w:r>
    </w:p>
    <w:p>
      <w:pPr>
        <w:spacing w:line="500" w:lineRule="exact"/>
        <w:ind w:firstLine="1680" w:firstLineChars="600"/>
        <w:rPr>
          <w:rFonts w:ascii="仿宋_GB2312" w:eastAsia="仿宋_GB2312"/>
          <w:sz w:val="28"/>
          <w:szCs w:val="28"/>
        </w:rPr>
      </w:pPr>
      <w:r>
        <w:rPr>
          <w:rFonts w:hint="eastAsia" w:ascii="仿宋_GB2312" w:eastAsia="仿宋_GB2312" w:cs="仿宋_GB2312"/>
          <w:sz w:val="28"/>
          <w:szCs w:val="28"/>
        </w:rPr>
        <w:t xml:space="preserve">◆电子证据特殊要求 </w:t>
      </w:r>
      <w:r>
        <w:rPr>
          <w:rFonts w:hint="eastAsia" w:ascii="仿宋_GB2312" w:eastAsia="仿宋_GB2312"/>
          <w:sz w:val="28"/>
          <w:szCs w:val="28"/>
        </w:rPr>
        <w:t xml:space="preserve">    </w:t>
      </w:r>
      <w:r>
        <w:rPr>
          <w:rFonts w:hint="eastAsia" w:ascii="仿宋_GB2312" w:eastAsia="仿宋_GB2312" w:cs="仿宋_GB2312"/>
          <w:sz w:val="28"/>
          <w:szCs w:val="28"/>
        </w:rPr>
        <w:t>◆</w:t>
      </w:r>
      <w:r>
        <w:rPr>
          <w:rFonts w:hint="eastAsia" w:ascii="仿宋_GB2312" w:eastAsia="仿宋_GB2312"/>
          <w:sz w:val="28"/>
          <w:szCs w:val="28"/>
        </w:rPr>
        <w:t>证据链的模型</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4、常见舞弊案例分析及查处技巧</w:t>
      </w:r>
    </w:p>
    <w:p>
      <w:pPr>
        <w:spacing w:line="500" w:lineRule="exact"/>
        <w:ind w:firstLine="1680" w:firstLineChars="600"/>
        <w:rPr>
          <w:rFonts w:ascii="仿宋_GB2312" w:eastAsia="仿宋_GB2312"/>
          <w:sz w:val="28"/>
          <w:szCs w:val="28"/>
        </w:rPr>
      </w:pPr>
      <w:r>
        <w:rPr>
          <w:rFonts w:hint="eastAsia" w:ascii="仿宋_GB2312" w:eastAsia="仿宋_GB2312" w:cs="仿宋_GB2312"/>
          <w:sz w:val="28"/>
          <w:szCs w:val="28"/>
        </w:rPr>
        <w:t xml:space="preserve">◆利益冲突    </w:t>
      </w:r>
      <w:r>
        <w:rPr>
          <w:rFonts w:hint="eastAsia" w:ascii="仿宋_GB2312" w:eastAsia="仿宋_GB2312"/>
          <w:sz w:val="28"/>
          <w:szCs w:val="28"/>
        </w:rPr>
        <w:t xml:space="preserve">         </w:t>
      </w:r>
      <w:r>
        <w:rPr>
          <w:rFonts w:hint="eastAsia" w:ascii="仿宋_GB2312" w:eastAsia="仿宋_GB2312" w:cs="仿宋_GB2312"/>
          <w:sz w:val="28"/>
          <w:szCs w:val="28"/>
        </w:rPr>
        <w:t>◆</w:t>
      </w:r>
      <w:r>
        <w:rPr>
          <w:rFonts w:hint="eastAsia" w:ascii="仿宋_GB2312" w:eastAsia="仿宋_GB2312"/>
          <w:sz w:val="28"/>
          <w:szCs w:val="28"/>
        </w:rPr>
        <w:t>舞弊性支付</w:t>
      </w:r>
    </w:p>
    <w:p>
      <w:pPr>
        <w:tabs>
          <w:tab w:val="left" w:pos="1620"/>
          <w:tab w:val="left" w:pos="1800"/>
        </w:tabs>
        <w:spacing w:line="500" w:lineRule="exact"/>
        <w:ind w:firstLine="1680" w:firstLineChars="600"/>
        <w:jc w:val="left"/>
        <w:rPr>
          <w:rFonts w:ascii="仿宋_GB2312" w:eastAsia="仿宋_GB2312" w:cs="仿宋_GB2312"/>
          <w:sz w:val="28"/>
          <w:szCs w:val="28"/>
        </w:rPr>
      </w:pPr>
      <w:r>
        <w:rPr>
          <w:rFonts w:hint="eastAsia" w:ascii="仿宋_GB2312" w:eastAsia="仿宋_GB2312" w:cs="仿宋_GB2312"/>
          <w:sz w:val="28"/>
          <w:szCs w:val="28"/>
        </w:rPr>
        <w:t xml:space="preserve">◆资产侵占  </w:t>
      </w:r>
      <w:r>
        <w:rPr>
          <w:rFonts w:hint="eastAsia" w:ascii="仿宋_GB2312" w:eastAsia="仿宋_GB2312"/>
          <w:sz w:val="28"/>
          <w:szCs w:val="28"/>
        </w:rPr>
        <w:t xml:space="preserve">           </w:t>
      </w:r>
      <w:r>
        <w:rPr>
          <w:rFonts w:hint="eastAsia" w:ascii="仿宋_GB2312" w:eastAsia="仿宋_GB2312" w:cs="仿宋_GB2312"/>
          <w:sz w:val="28"/>
          <w:szCs w:val="28"/>
        </w:rPr>
        <w:t>◆</w:t>
      </w:r>
      <w:r>
        <w:rPr>
          <w:rFonts w:hint="eastAsia" w:ascii="仿宋_GB2312" w:eastAsia="仿宋_GB2312"/>
          <w:sz w:val="28"/>
          <w:szCs w:val="28"/>
        </w:rPr>
        <w:t>外部欺诈</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5、财务造假逻辑及基本手法</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6、识别财务造假的方法</w:t>
      </w:r>
    </w:p>
    <w:p>
      <w:pPr>
        <w:pStyle w:val="4"/>
        <w:tabs>
          <w:tab w:val="left" w:pos="1620"/>
          <w:tab w:val="left" w:pos="1800"/>
        </w:tabs>
        <w:spacing w:line="500" w:lineRule="exact"/>
        <w:ind w:left="561" w:firstLine="560"/>
        <w:jc w:val="left"/>
        <w:rPr>
          <w:rFonts w:ascii="仿宋_GB2312" w:eastAsia="仿宋_GB2312"/>
          <w:sz w:val="28"/>
          <w:szCs w:val="28"/>
        </w:rPr>
      </w:pPr>
      <w:r>
        <w:rPr>
          <w:rFonts w:hint="eastAsia" w:ascii="仿宋_GB2312" w:eastAsia="仿宋_GB2312" w:cs="仿宋_GB2312"/>
          <w:sz w:val="28"/>
          <w:szCs w:val="28"/>
        </w:rPr>
        <w:t>7、财务造假案例剖析</w:t>
      </w:r>
    </w:p>
    <w:p>
      <w:pPr>
        <w:tabs>
          <w:tab w:val="left" w:pos="1620"/>
          <w:tab w:val="left" w:pos="1800"/>
        </w:tabs>
        <w:spacing w:before="93" w:beforeLines="30" w:after="93" w:afterLines="30" w:line="500" w:lineRule="exact"/>
        <w:ind w:firstLine="562"/>
        <w:jc w:val="left"/>
        <w:rPr>
          <w:rFonts w:ascii="仿宋_GB2312" w:eastAsia="仿宋_GB2312" w:cs="仿宋_GB2312"/>
          <w:b/>
          <w:sz w:val="28"/>
          <w:szCs w:val="28"/>
        </w:rPr>
      </w:pPr>
      <w:r>
        <w:rPr>
          <w:rFonts w:hint="eastAsia" w:ascii="仿宋_GB2312" w:eastAsia="仿宋_GB2312" w:cs="仿宋_GB2312"/>
          <w:b/>
          <w:sz w:val="28"/>
          <w:szCs w:val="28"/>
        </w:rPr>
        <w:t>（六）防范职业舞弊</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1、责任前移、明确对策</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2、建立反舞弊机制</w:t>
      </w:r>
    </w:p>
    <w:p>
      <w:pPr>
        <w:pStyle w:val="4"/>
        <w:tabs>
          <w:tab w:val="left" w:pos="1620"/>
          <w:tab w:val="left" w:pos="1800"/>
        </w:tabs>
        <w:spacing w:line="500" w:lineRule="exact"/>
        <w:ind w:left="561" w:firstLine="560"/>
        <w:jc w:val="left"/>
        <w:rPr>
          <w:rFonts w:ascii="仿宋_GB2312" w:eastAsia="仿宋_GB2312" w:cs="仿宋_GB2312"/>
          <w:sz w:val="28"/>
          <w:szCs w:val="28"/>
        </w:rPr>
      </w:pPr>
      <w:r>
        <w:rPr>
          <w:rFonts w:hint="eastAsia" w:ascii="仿宋_GB2312" w:eastAsia="仿宋_GB2312" w:cs="仿宋_GB2312"/>
          <w:sz w:val="28"/>
          <w:szCs w:val="28"/>
        </w:rPr>
        <w:t>3、不同类型舞弊针对性防范措施</w:t>
      </w:r>
    </w:p>
    <w:p>
      <w:pPr>
        <w:spacing w:before="156" w:beforeLines="50" w:after="93" w:afterLines="30" w:line="500" w:lineRule="exact"/>
        <w:ind w:firstLine="562" w:firstLineChars="200"/>
        <w:rPr>
          <w:rFonts w:ascii="黑体" w:eastAsia="黑体"/>
          <w:b/>
          <w:sz w:val="28"/>
          <w:szCs w:val="28"/>
        </w:rPr>
      </w:pPr>
      <w:r>
        <w:rPr>
          <w:rFonts w:hint="eastAsia" w:ascii="黑体" w:eastAsia="黑体"/>
          <w:b/>
          <w:sz w:val="28"/>
          <w:szCs w:val="28"/>
        </w:rPr>
        <w:t>三、培训对象</w:t>
      </w:r>
    </w:p>
    <w:p>
      <w:pPr>
        <w:spacing w:before="93" w:beforeLines="30" w:after="93" w:afterLines="30" w:line="500" w:lineRule="exact"/>
        <w:ind w:firstLine="528" w:firstLineChars="200"/>
        <w:rPr>
          <w:rFonts w:ascii="仿宋_GB2312" w:eastAsia="仿宋_GB2312"/>
          <w:spacing w:val="-8"/>
          <w:sz w:val="28"/>
          <w:szCs w:val="28"/>
        </w:rPr>
      </w:pPr>
      <w:r>
        <w:rPr>
          <w:rFonts w:hint="eastAsia" w:ascii="仿宋_GB2312" w:eastAsia="仿宋_GB2312"/>
          <w:spacing w:val="-8"/>
          <w:sz w:val="28"/>
          <w:szCs w:val="28"/>
        </w:rPr>
        <w:t>各级省（市）委审计委员会、审计厅（局）、国资委、审计协会、审计事务所、会计师事务所有关工作人员；大学、医院等各行政事业单位审计（处）科、财务（处）科、纪检监察部门负责人及有关人员。</w:t>
      </w:r>
    </w:p>
    <w:p>
      <w:pPr>
        <w:spacing w:before="93" w:beforeLines="30" w:after="93" w:afterLines="30" w:line="500" w:lineRule="exact"/>
        <w:ind w:firstLine="528" w:firstLineChars="200"/>
        <w:rPr>
          <w:rFonts w:ascii="仿宋_GB2312" w:eastAsia="仿宋_GB2312"/>
          <w:spacing w:val="-8"/>
          <w:sz w:val="28"/>
          <w:szCs w:val="28"/>
        </w:rPr>
      </w:pPr>
      <w:r>
        <w:rPr>
          <w:rFonts w:hint="eastAsia" w:ascii="仿宋_GB2312" w:eastAsia="仿宋_GB2312"/>
          <w:spacing w:val="-8"/>
          <w:sz w:val="28"/>
          <w:szCs w:val="28"/>
        </w:rPr>
        <w:t>中央企业、上市公司、国有企业的内部审计部门、财务部门、内部控制部门、纪检监察部门负责人等高、中层管理人员及其后备人员。</w:t>
      </w:r>
    </w:p>
    <w:p>
      <w:pPr>
        <w:spacing w:before="156" w:beforeLines="50" w:after="93" w:afterLines="30" w:line="500" w:lineRule="exact"/>
        <w:ind w:left="425" w:firstLine="141" w:firstLineChars="50"/>
        <w:rPr>
          <w:rFonts w:ascii="黑体" w:eastAsia="黑体"/>
          <w:b/>
          <w:sz w:val="28"/>
          <w:szCs w:val="28"/>
        </w:rPr>
      </w:pPr>
      <w:r>
        <w:rPr>
          <w:rFonts w:hint="eastAsia" w:ascii="黑体" w:eastAsia="黑体"/>
          <w:b/>
          <w:sz w:val="28"/>
          <w:szCs w:val="28"/>
        </w:rPr>
        <w:t>四、师资力量</w:t>
      </w:r>
    </w:p>
    <w:p>
      <w:pPr>
        <w:spacing w:before="156" w:beforeLines="50" w:after="93" w:afterLines="30" w:line="500" w:lineRule="exact"/>
        <w:ind w:firstLine="560" w:firstLineChars="200"/>
        <w:rPr>
          <w:rFonts w:ascii="仿宋_GB2312" w:eastAsia="仿宋_GB2312"/>
          <w:sz w:val="28"/>
          <w:szCs w:val="28"/>
        </w:rPr>
      </w:pPr>
      <w:r>
        <w:rPr>
          <w:rFonts w:hint="eastAsia" w:ascii="仿宋_GB2312" w:eastAsia="仿宋_GB2312"/>
          <w:sz w:val="28"/>
          <w:szCs w:val="28"/>
        </w:rPr>
        <w:t>审计署、财政部等部委相关司局，南京审计大学、中国政法大学、北京、上海、厦门国家会计学院等高等院校的权威专家、领导、教授和业内资深专家等。</w:t>
      </w:r>
    </w:p>
    <w:p>
      <w:pPr>
        <w:spacing w:before="156" w:beforeLines="50" w:after="93" w:afterLines="30" w:line="500" w:lineRule="exact"/>
        <w:ind w:left="425" w:firstLine="141" w:firstLineChars="50"/>
        <w:rPr>
          <w:rFonts w:ascii="黑体" w:eastAsia="黑体"/>
          <w:b/>
          <w:sz w:val="28"/>
          <w:szCs w:val="28"/>
        </w:rPr>
      </w:pPr>
      <w:r>
        <w:rPr>
          <w:rFonts w:hint="eastAsia" w:ascii="黑体" w:eastAsia="黑体"/>
          <w:b/>
          <w:sz w:val="28"/>
          <w:szCs w:val="28"/>
        </w:rPr>
        <w:t>五、培训费用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专题培训班费用为每人每期3,200元；食宿统一安排，费用另计；往返交通及费用由参训单位自行办理和支付。</w:t>
      </w:r>
    </w:p>
    <w:p>
      <w:pPr>
        <w:spacing w:before="156" w:beforeLines="50" w:after="93" w:afterLines="30" w:line="500" w:lineRule="exact"/>
        <w:ind w:left="425" w:firstLine="141" w:firstLineChars="50"/>
        <w:rPr>
          <w:rFonts w:ascii="黑体" w:eastAsia="黑体"/>
          <w:b/>
          <w:sz w:val="26"/>
          <w:szCs w:val="28"/>
        </w:rPr>
      </w:pPr>
      <w:r>
        <w:rPr>
          <w:rFonts w:hint="eastAsia" w:ascii="黑体" w:eastAsia="黑体"/>
          <w:b/>
          <w:sz w:val="28"/>
          <w:szCs w:val="28"/>
        </w:rPr>
        <w:t>六、参</w:t>
      </w:r>
      <w:r>
        <w:rPr>
          <w:rFonts w:hint="eastAsia" w:ascii="黑体" w:eastAsia="黑体"/>
          <w:b/>
          <w:sz w:val="28"/>
          <w:szCs w:val="28"/>
          <w:lang w:val="en-US" w:eastAsia="zh-CN"/>
        </w:rPr>
        <w:t>训</w:t>
      </w:r>
      <w:r>
        <w:rPr>
          <w:rFonts w:hint="eastAsia" w:ascii="黑体" w:eastAsia="黑体"/>
          <w:b/>
          <w:sz w:val="28"/>
          <w:szCs w:val="28"/>
        </w:rPr>
        <w:t>办法</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各单位可汇总本系统的参训人员填写报名表，传真至会务组（010-</w:t>
      </w:r>
      <w:r>
        <w:rPr>
          <w:rFonts w:ascii="仿宋_GB2312" w:eastAsia="仿宋_GB2312"/>
          <w:sz w:val="28"/>
          <w:szCs w:val="28"/>
        </w:rPr>
        <w:t>5377188</w:t>
      </w:r>
      <w:r>
        <w:rPr>
          <w:rFonts w:hint="eastAsia" w:ascii="仿宋_GB2312" w:eastAsia="仿宋_GB2312"/>
          <w:sz w:val="28"/>
          <w:szCs w:val="28"/>
        </w:rPr>
        <w:t>2、</w:t>
      </w:r>
      <w:r>
        <w:rPr>
          <w:rFonts w:ascii="仿宋_GB2312" w:eastAsia="仿宋_GB2312"/>
          <w:sz w:val="28"/>
          <w:szCs w:val="28"/>
        </w:rPr>
        <w:t>53771881</w:t>
      </w:r>
      <w:r>
        <w:rPr>
          <w:rFonts w:hint="eastAsia" w:ascii="仿宋_GB2312" w:eastAsia="仿宋_GB2312"/>
          <w:sz w:val="28"/>
          <w:szCs w:val="28"/>
        </w:rPr>
        <w:t>）或发送电子邮件（会务组</w:t>
      </w:r>
      <w:r>
        <w:rPr>
          <w:rFonts w:hint="eastAsia" w:ascii="仿宋_GB2312" w:hAnsi="宋体" w:eastAsia="仿宋_GB2312"/>
          <w:sz w:val="28"/>
          <w:szCs w:val="28"/>
        </w:rPr>
        <w:t>E-mail：cacfo</w:t>
      </w:r>
      <w:r>
        <w:rPr>
          <w:rFonts w:ascii="仿宋_GB2312" w:hAnsi="宋体" w:eastAsia="仿宋_GB2312"/>
          <w:sz w:val="28"/>
          <w:szCs w:val="28"/>
        </w:rPr>
        <w:t>@13</w:t>
      </w:r>
      <w:r>
        <w:rPr>
          <w:rFonts w:hint="eastAsia" w:ascii="仿宋_GB2312" w:hAnsi="宋体" w:eastAsia="仿宋_GB2312"/>
          <w:sz w:val="28"/>
          <w:szCs w:val="28"/>
        </w:rPr>
        <w:t>9</w:t>
      </w:r>
      <w:r>
        <w:rPr>
          <w:rFonts w:ascii="仿宋_GB2312" w:hAnsi="宋体" w:eastAsia="仿宋_GB2312"/>
          <w:sz w:val="28"/>
          <w:szCs w:val="28"/>
        </w:rPr>
        <w:t>.com</w:t>
      </w:r>
      <w:r>
        <w:rPr>
          <w:rFonts w:hint="eastAsia" w:ascii="仿宋_GB2312" w:hAnsi="宋体" w:eastAsia="仿宋_GB2312"/>
          <w:sz w:val="28"/>
          <w:szCs w:val="28"/>
        </w:rPr>
        <w:t>；培训部E-mail：peixun@cacfo.com</w:t>
      </w:r>
      <w:r>
        <w:rPr>
          <w:rFonts w:hint="eastAsia" w:ascii="仿宋_GB2312" w:eastAsia="仿宋_GB2312"/>
          <w:sz w:val="28"/>
          <w:szCs w:val="28"/>
        </w:rPr>
        <w:t>）。参训人员可提前将培训费用汇入指定银行账号；并于每期培训班开班前十天，将银行汇款凭证传真至会务组，以便确认安排具体事宜</w:t>
      </w:r>
      <w:r>
        <w:rPr>
          <w:rFonts w:hint="eastAsia" w:ascii="仿宋_GB2312" w:eastAsia="仿宋_GB2312"/>
          <w:spacing w:val="-2"/>
          <w:sz w:val="28"/>
          <w:szCs w:val="28"/>
        </w:rPr>
        <w:t>。</w:t>
      </w:r>
      <w:r>
        <w:rPr>
          <w:rFonts w:hint="eastAsia" w:ascii="仿宋_GB2312" w:eastAsia="仿宋_GB2312"/>
          <w:sz w:val="28"/>
          <w:szCs w:val="28"/>
        </w:rPr>
        <w:t>会务组将于每期培训班开班前七天通知参训人员报到的详细地点、乘车路线及有关事项。</w:t>
      </w:r>
    </w:p>
    <w:p>
      <w:pPr>
        <w:spacing w:line="500" w:lineRule="exact"/>
        <w:ind w:firstLine="560" w:firstLineChars="200"/>
        <w:rPr>
          <w:rFonts w:eastAsia="仿宋_GB2312" w:asciiTheme="minorHAnsi" w:hAnsiTheme="minorHAnsi"/>
          <w:sz w:val="28"/>
          <w:szCs w:val="28"/>
        </w:rPr>
      </w:pPr>
      <w:r>
        <w:rPr>
          <w:rFonts w:hint="eastAsia" w:ascii="仿宋_GB2312" w:hAnsi="宋体" w:eastAsia="仿宋_GB2312"/>
          <w:bCs/>
          <w:sz w:val="28"/>
          <w:szCs w:val="28"/>
        </w:rPr>
        <w:t>本《通知》文件信息发布见中国总会计师协会网站</w:t>
      </w:r>
      <w:r>
        <w:fldChar w:fldCharType="begin"/>
      </w:r>
      <w:r>
        <w:instrText xml:space="preserve"> HYPERLINK "http://www.cacfo.com" </w:instrText>
      </w:r>
      <w:r>
        <w:fldChar w:fldCharType="separate"/>
      </w:r>
      <w:r>
        <w:rPr>
          <w:rFonts w:hint="eastAsia" w:ascii="仿宋_GB2312" w:eastAsia="仿宋_GB2312"/>
          <w:color w:val="000000"/>
          <w:sz w:val="28"/>
          <w:szCs w:val="28"/>
        </w:rPr>
        <w:t>www.cacfo.com</w:t>
      </w:r>
      <w:r>
        <w:rPr>
          <w:rFonts w:hint="eastAsia" w:ascii="仿宋_GB2312" w:eastAsia="仿宋_GB2312"/>
          <w:color w:val="000000"/>
          <w:sz w:val="28"/>
          <w:szCs w:val="28"/>
        </w:rPr>
        <w:fldChar w:fldCharType="end"/>
      </w:r>
      <w:r>
        <w:rPr>
          <w:rFonts w:hint="eastAsia" w:ascii="仿宋_GB2312" w:eastAsia="仿宋_GB2312"/>
          <w:sz w:val="28"/>
          <w:szCs w:val="28"/>
        </w:rPr>
        <w:t>和国培财经网站</w:t>
      </w:r>
      <w:r>
        <w:fldChar w:fldCharType="begin"/>
      </w:r>
      <w:r>
        <w:instrText xml:space="preserve"> HYPERLINK "http://www.guopeicaijing.com" </w:instrText>
      </w:r>
      <w:r>
        <w:fldChar w:fldCharType="separate"/>
      </w:r>
      <w:r>
        <w:rPr>
          <w:rFonts w:hint="eastAsia" w:ascii="仿宋_GB2312" w:eastAsia="仿宋_GB2312"/>
          <w:color w:val="000000"/>
          <w:sz w:val="28"/>
          <w:szCs w:val="28"/>
        </w:rPr>
        <w:t>www.guopeicaijing.com</w:t>
      </w:r>
      <w:r>
        <w:rPr>
          <w:rFonts w:hint="eastAsia" w:ascii="仿宋_GB2312" w:eastAsia="仿宋_GB2312"/>
          <w:color w:val="000000"/>
          <w:sz w:val="28"/>
          <w:szCs w:val="28"/>
        </w:rPr>
        <w:fldChar w:fldCharType="end"/>
      </w:r>
      <w:r>
        <w:rPr>
          <w:rFonts w:hint="eastAsia" w:eastAsia="仿宋_GB2312" w:asciiTheme="minorHAnsi" w:hAnsiTheme="minorHAnsi"/>
          <w:color w:val="000000"/>
          <w:sz w:val="28"/>
          <w:szCs w:val="28"/>
        </w:rPr>
        <w:t>、</w:t>
      </w:r>
      <w:r>
        <w:rPr>
          <w:rFonts w:hint="eastAsia" w:ascii="仿宋_GB2312" w:eastAsia="仿宋_GB2312"/>
          <w:sz w:val="28"/>
          <w:szCs w:val="28"/>
        </w:rPr>
        <w:t>国培财经公众号。</w:t>
      </w:r>
    </w:p>
    <w:p>
      <w:pPr>
        <w:spacing w:before="93" w:beforeLines="30" w:after="93" w:afterLines="30" w:line="500" w:lineRule="exact"/>
        <w:ind w:firstLine="548" w:firstLineChars="196"/>
        <w:rPr>
          <w:rFonts w:ascii="仿宋_GB2312" w:eastAsia="仿宋_GB2312"/>
          <w:sz w:val="28"/>
          <w:szCs w:val="28"/>
        </w:rPr>
      </w:pPr>
      <w:r>
        <w:rPr>
          <w:rFonts w:hint="eastAsia" w:ascii="仿宋_GB2312" w:eastAsia="仿宋_GB2312"/>
          <w:sz w:val="28"/>
          <w:szCs w:val="28"/>
        </w:rPr>
        <w:t>汇款方式:</w:t>
      </w:r>
    </w:p>
    <w:p>
      <w:pPr>
        <w:spacing w:line="500" w:lineRule="exact"/>
        <w:ind w:firstLine="1120" w:firstLineChars="400"/>
        <w:rPr>
          <w:rFonts w:ascii="仿宋_GB2312" w:hAnsi="宋体" w:eastAsia="仿宋_GB2312"/>
          <w:bCs/>
          <w:sz w:val="28"/>
          <w:szCs w:val="28"/>
        </w:rPr>
      </w:pPr>
      <w:r>
        <w:rPr>
          <w:rFonts w:hint="eastAsia" w:ascii="仿宋_GB2312" w:hAnsi="宋体" w:eastAsia="仿宋_GB2312"/>
          <w:bCs/>
          <w:sz w:val="28"/>
          <w:szCs w:val="28"/>
        </w:rPr>
        <w:t>户  名：北京国培创新教育科技股份有限公司</w:t>
      </w:r>
    </w:p>
    <w:p>
      <w:pPr>
        <w:spacing w:line="500" w:lineRule="exact"/>
        <w:ind w:firstLine="1120" w:firstLineChars="400"/>
        <w:rPr>
          <w:rFonts w:ascii="仿宋_GB2312" w:hAnsi="宋体" w:eastAsia="仿宋_GB2312"/>
          <w:bCs/>
          <w:sz w:val="28"/>
          <w:szCs w:val="28"/>
        </w:rPr>
      </w:pPr>
      <w:r>
        <w:rPr>
          <w:rFonts w:hint="eastAsia" w:ascii="仿宋_GB2312" w:hAnsi="宋体" w:eastAsia="仿宋_GB2312"/>
          <w:bCs/>
          <w:sz w:val="28"/>
          <w:szCs w:val="28"/>
        </w:rPr>
        <w:t>开户行：中国工商银行海淀支行营业部</w:t>
      </w:r>
    </w:p>
    <w:p>
      <w:pPr>
        <w:spacing w:line="500" w:lineRule="exact"/>
        <w:ind w:firstLine="1120" w:firstLineChars="400"/>
        <w:rPr>
          <w:rFonts w:ascii="仿宋_GB2312" w:hAnsi="宋体" w:eastAsia="仿宋_GB2312"/>
          <w:bCs/>
          <w:spacing w:val="6"/>
          <w:sz w:val="28"/>
          <w:szCs w:val="28"/>
        </w:rPr>
      </w:pPr>
      <w:r>
        <w:rPr>
          <w:rFonts w:hint="eastAsia" w:ascii="仿宋_GB2312" w:hAnsi="宋体" w:eastAsia="仿宋_GB2312"/>
          <w:bCs/>
          <w:sz w:val="28"/>
          <w:szCs w:val="28"/>
        </w:rPr>
        <w:t>帐  号：</w:t>
      </w:r>
      <w:r>
        <w:rPr>
          <w:rFonts w:ascii="仿宋_GB2312" w:hAnsi="宋体" w:eastAsia="仿宋_GB2312"/>
          <w:bCs/>
          <w:spacing w:val="6"/>
          <w:sz w:val="28"/>
          <w:szCs w:val="28"/>
        </w:rPr>
        <w:t>0200151609100016356</w:t>
      </w:r>
    </w:p>
    <w:p>
      <w:pPr>
        <w:spacing w:before="156" w:beforeLines="50" w:after="93" w:afterLines="30" w:line="500" w:lineRule="exact"/>
        <w:ind w:left="425" w:firstLine="141" w:firstLineChars="50"/>
        <w:rPr>
          <w:rFonts w:ascii="黑体" w:eastAsia="黑体"/>
          <w:b/>
          <w:sz w:val="28"/>
          <w:szCs w:val="28"/>
        </w:rPr>
      </w:pPr>
      <w:r>
        <w:rPr>
          <w:rFonts w:hint="eastAsia" w:ascii="黑体" w:eastAsia="黑体"/>
          <w:b/>
          <w:sz w:val="28"/>
          <w:szCs w:val="28"/>
        </w:rPr>
        <w:t>七、培训证书</w:t>
      </w:r>
    </w:p>
    <w:p>
      <w:pPr>
        <w:spacing w:line="500" w:lineRule="exact"/>
        <w:ind w:firstLine="556"/>
        <w:rPr>
          <w:rFonts w:ascii="仿宋_GB2312" w:eastAsia="仿宋_GB2312"/>
          <w:sz w:val="28"/>
          <w:szCs w:val="28"/>
        </w:rPr>
      </w:pPr>
      <w:r>
        <w:rPr>
          <w:rFonts w:hint="eastAsia" w:ascii="仿宋_GB2312" w:eastAsia="仿宋_GB2312"/>
          <w:sz w:val="28"/>
          <w:szCs w:val="28"/>
        </w:rPr>
        <w:t>培训班学习期满，颁发中国总会计师协会《培训结业证书》。</w:t>
      </w:r>
    </w:p>
    <w:p>
      <w:pPr>
        <w:spacing w:before="156" w:beforeLines="50" w:after="93" w:afterLines="30" w:line="500" w:lineRule="exact"/>
        <w:ind w:firstLine="556"/>
        <w:rPr>
          <w:rFonts w:ascii="黑体" w:eastAsia="黑体"/>
          <w:b/>
          <w:sz w:val="28"/>
          <w:szCs w:val="28"/>
        </w:rPr>
      </w:pPr>
      <w:r>
        <w:rPr>
          <w:rFonts w:hint="eastAsia" w:ascii="黑体" w:eastAsia="黑体"/>
          <w:b/>
          <w:sz w:val="28"/>
          <w:szCs w:val="28"/>
        </w:rPr>
        <w:t>八、联系方式</w:t>
      </w:r>
    </w:p>
    <w:p>
      <w:pPr>
        <w:spacing w:after="93" w:afterLines="30" w:line="500" w:lineRule="exact"/>
        <w:ind w:firstLine="560" w:firstLineChars="200"/>
        <w:rPr>
          <w:rFonts w:ascii="黑体" w:eastAsia="黑体"/>
          <w:b/>
          <w:spacing w:val="-10"/>
          <w:sz w:val="28"/>
          <w:szCs w:val="28"/>
        </w:rPr>
      </w:pPr>
      <w:r>
        <w:rPr>
          <w:rFonts w:hint="eastAsia" w:ascii="仿宋_GB2312" w:eastAsia="仿宋_GB2312"/>
          <w:sz w:val="28"/>
          <w:szCs w:val="28"/>
        </w:rPr>
        <w:t>咨询电话：</w:t>
      </w:r>
      <w:r>
        <w:rPr>
          <w:rFonts w:hint="eastAsia" w:ascii="仿宋_GB2312" w:eastAsia="仿宋_GB2312"/>
          <w:color w:val="000000"/>
          <w:sz w:val="28"/>
          <w:szCs w:val="28"/>
        </w:rPr>
        <w:t>010-</w:t>
      </w:r>
      <w:r>
        <w:rPr>
          <w:rFonts w:ascii="仿宋_GB2312" w:eastAsia="仿宋_GB2312"/>
          <w:sz w:val="28"/>
          <w:szCs w:val="28"/>
        </w:rPr>
        <w:t>53771881</w:t>
      </w:r>
      <w:r>
        <w:rPr>
          <w:rFonts w:hint="eastAsia" w:ascii="仿宋_GB2312" w:eastAsia="仿宋_GB2312"/>
          <w:color w:val="000000"/>
          <w:sz w:val="28"/>
          <w:szCs w:val="28"/>
        </w:rPr>
        <w:t>、</w:t>
      </w:r>
      <w:r>
        <w:rPr>
          <w:rFonts w:ascii="仿宋_GB2312" w:eastAsia="仿宋_GB2312"/>
          <w:sz w:val="28"/>
          <w:szCs w:val="28"/>
        </w:rPr>
        <w:t>5377188</w:t>
      </w:r>
      <w:r>
        <w:rPr>
          <w:rFonts w:hint="eastAsia" w:ascii="仿宋_GB2312" w:eastAsia="仿宋_GB2312"/>
          <w:sz w:val="28"/>
          <w:szCs w:val="28"/>
        </w:rPr>
        <w:t>2， 88191832（中总协培训部）</w:t>
      </w:r>
    </w:p>
    <w:p>
      <w:pPr>
        <w:spacing w:line="500" w:lineRule="exact"/>
        <w:ind w:firstLine="555"/>
        <w:rPr>
          <w:rFonts w:ascii="仿宋_GB2312" w:eastAsia="仿宋_GB2312"/>
          <w:sz w:val="28"/>
          <w:szCs w:val="28"/>
        </w:rPr>
      </w:pPr>
      <w:r>
        <w:rPr>
          <w:rFonts w:hint="eastAsia" w:ascii="仿宋_GB2312" w:eastAsia="仿宋_GB2312"/>
          <w:sz w:val="28"/>
          <w:szCs w:val="28"/>
        </w:rPr>
        <w:t>报名传真：010-</w:t>
      </w:r>
      <w:r>
        <w:rPr>
          <w:rFonts w:ascii="仿宋_GB2312" w:eastAsia="仿宋_GB2312"/>
          <w:sz w:val="28"/>
          <w:szCs w:val="28"/>
        </w:rPr>
        <w:t>5377188</w:t>
      </w:r>
      <w:r>
        <w:rPr>
          <w:rFonts w:hint="eastAsia" w:ascii="仿宋_GB2312" w:eastAsia="仿宋_GB2312"/>
          <w:sz w:val="28"/>
          <w:szCs w:val="28"/>
        </w:rPr>
        <w:t>2、</w:t>
      </w:r>
      <w:r>
        <w:rPr>
          <w:rFonts w:ascii="仿宋_GB2312" w:eastAsia="仿宋_GB2312"/>
          <w:sz w:val="28"/>
          <w:szCs w:val="28"/>
        </w:rPr>
        <w:t>53771881</w:t>
      </w:r>
    </w:p>
    <w:p>
      <w:pPr>
        <w:spacing w:line="500" w:lineRule="exact"/>
        <w:ind w:firstLine="555"/>
        <w:rPr>
          <w:rFonts w:ascii="仿宋_GB2312" w:eastAsia="仿宋_GB2312"/>
          <w:sz w:val="28"/>
          <w:szCs w:val="28"/>
        </w:rPr>
      </w:pPr>
      <w:r>
        <w:rPr>
          <w:rFonts w:hint="eastAsia" w:ascii="仿宋_GB2312" w:eastAsia="仿宋_GB2312"/>
          <w:sz w:val="28"/>
          <w:szCs w:val="28"/>
        </w:rPr>
        <w:t>联 系 人：攸兴臣，韦正龙，桑立强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CD2"/>
    <w:multiLevelType w:val="multilevel"/>
    <w:tmpl w:val="380D0CD2"/>
    <w:lvl w:ilvl="0" w:tentative="0">
      <w:start w:val="2"/>
      <w:numFmt w:val="decimal"/>
      <w:lvlText w:val="%1、"/>
      <w:lvlJc w:val="left"/>
      <w:pPr>
        <w:ind w:left="1841" w:hanging="720"/>
      </w:pPr>
      <w:rPr>
        <w:rFonts w:hint="default"/>
      </w:rPr>
    </w:lvl>
    <w:lvl w:ilvl="1" w:tentative="0">
      <w:start w:val="1"/>
      <w:numFmt w:val="lowerLetter"/>
      <w:lvlText w:val="%2)"/>
      <w:lvlJc w:val="left"/>
      <w:pPr>
        <w:ind w:left="1961" w:hanging="420"/>
      </w:pPr>
    </w:lvl>
    <w:lvl w:ilvl="2" w:tentative="0">
      <w:start w:val="1"/>
      <w:numFmt w:val="lowerRoman"/>
      <w:lvlText w:val="%3."/>
      <w:lvlJc w:val="right"/>
      <w:pPr>
        <w:ind w:left="2381" w:hanging="420"/>
      </w:pPr>
    </w:lvl>
    <w:lvl w:ilvl="3" w:tentative="0">
      <w:start w:val="1"/>
      <w:numFmt w:val="decimal"/>
      <w:lvlText w:val="%4."/>
      <w:lvlJc w:val="left"/>
      <w:pPr>
        <w:ind w:left="2801" w:hanging="420"/>
      </w:pPr>
    </w:lvl>
    <w:lvl w:ilvl="4" w:tentative="0">
      <w:start w:val="1"/>
      <w:numFmt w:val="lowerLetter"/>
      <w:lvlText w:val="%5)"/>
      <w:lvlJc w:val="left"/>
      <w:pPr>
        <w:ind w:left="3221" w:hanging="420"/>
      </w:pPr>
    </w:lvl>
    <w:lvl w:ilvl="5" w:tentative="0">
      <w:start w:val="1"/>
      <w:numFmt w:val="lowerRoman"/>
      <w:lvlText w:val="%6."/>
      <w:lvlJc w:val="right"/>
      <w:pPr>
        <w:ind w:left="3641" w:hanging="420"/>
      </w:pPr>
    </w:lvl>
    <w:lvl w:ilvl="6" w:tentative="0">
      <w:start w:val="1"/>
      <w:numFmt w:val="decimal"/>
      <w:lvlText w:val="%7."/>
      <w:lvlJc w:val="left"/>
      <w:pPr>
        <w:ind w:left="4061" w:hanging="420"/>
      </w:pPr>
    </w:lvl>
    <w:lvl w:ilvl="7" w:tentative="0">
      <w:start w:val="1"/>
      <w:numFmt w:val="lowerLetter"/>
      <w:lvlText w:val="%8)"/>
      <w:lvlJc w:val="left"/>
      <w:pPr>
        <w:ind w:left="4481" w:hanging="420"/>
      </w:pPr>
    </w:lvl>
    <w:lvl w:ilvl="8" w:tentative="0">
      <w:start w:val="1"/>
      <w:numFmt w:val="lowerRoman"/>
      <w:lvlText w:val="%9."/>
      <w:lvlJc w:val="right"/>
      <w:pPr>
        <w:ind w:left="4901" w:hanging="420"/>
      </w:pPr>
    </w:lvl>
  </w:abstractNum>
  <w:abstractNum w:abstractNumId="1">
    <w:nsid w:val="7C482AE8"/>
    <w:multiLevelType w:val="multilevel"/>
    <w:tmpl w:val="7C482AE8"/>
    <w:lvl w:ilvl="0" w:tentative="0">
      <w:start w:val="1"/>
      <w:numFmt w:val="bullet"/>
      <w:lvlText w:val=""/>
      <w:lvlJc w:val="left"/>
      <w:pPr>
        <w:ind w:left="2101" w:hanging="420"/>
      </w:pPr>
      <w:rPr>
        <w:rFonts w:hint="default" w:ascii="Wingdings" w:hAnsi="Wingdings"/>
      </w:rPr>
    </w:lvl>
    <w:lvl w:ilvl="1" w:tentative="0">
      <w:start w:val="1"/>
      <w:numFmt w:val="bullet"/>
      <w:lvlText w:val=""/>
      <w:lvlJc w:val="left"/>
      <w:pPr>
        <w:ind w:left="2521" w:hanging="420"/>
      </w:pPr>
      <w:rPr>
        <w:rFonts w:hint="default" w:ascii="Wingdings" w:hAnsi="Wingdings"/>
      </w:rPr>
    </w:lvl>
    <w:lvl w:ilvl="2" w:tentative="0">
      <w:start w:val="1"/>
      <w:numFmt w:val="bullet"/>
      <w:lvlText w:val=""/>
      <w:lvlJc w:val="left"/>
      <w:pPr>
        <w:ind w:left="2941" w:hanging="420"/>
      </w:pPr>
      <w:rPr>
        <w:rFonts w:hint="default" w:ascii="Wingdings" w:hAnsi="Wingdings"/>
      </w:rPr>
    </w:lvl>
    <w:lvl w:ilvl="3" w:tentative="0">
      <w:start w:val="1"/>
      <w:numFmt w:val="bullet"/>
      <w:lvlText w:val=""/>
      <w:lvlJc w:val="left"/>
      <w:pPr>
        <w:ind w:left="3361" w:hanging="420"/>
      </w:pPr>
      <w:rPr>
        <w:rFonts w:hint="default" w:ascii="Wingdings" w:hAnsi="Wingdings"/>
      </w:rPr>
    </w:lvl>
    <w:lvl w:ilvl="4" w:tentative="0">
      <w:start w:val="1"/>
      <w:numFmt w:val="bullet"/>
      <w:lvlText w:val=""/>
      <w:lvlJc w:val="left"/>
      <w:pPr>
        <w:ind w:left="3781" w:hanging="420"/>
      </w:pPr>
      <w:rPr>
        <w:rFonts w:hint="default" w:ascii="Wingdings" w:hAnsi="Wingdings"/>
      </w:rPr>
    </w:lvl>
    <w:lvl w:ilvl="5" w:tentative="0">
      <w:start w:val="1"/>
      <w:numFmt w:val="bullet"/>
      <w:lvlText w:val=""/>
      <w:lvlJc w:val="left"/>
      <w:pPr>
        <w:ind w:left="4201" w:hanging="420"/>
      </w:pPr>
      <w:rPr>
        <w:rFonts w:hint="default" w:ascii="Wingdings" w:hAnsi="Wingdings"/>
      </w:rPr>
    </w:lvl>
    <w:lvl w:ilvl="6" w:tentative="0">
      <w:start w:val="1"/>
      <w:numFmt w:val="bullet"/>
      <w:lvlText w:val=""/>
      <w:lvlJc w:val="left"/>
      <w:pPr>
        <w:ind w:left="4621" w:hanging="420"/>
      </w:pPr>
      <w:rPr>
        <w:rFonts w:hint="default" w:ascii="Wingdings" w:hAnsi="Wingdings"/>
      </w:rPr>
    </w:lvl>
    <w:lvl w:ilvl="7" w:tentative="0">
      <w:start w:val="1"/>
      <w:numFmt w:val="bullet"/>
      <w:lvlText w:val=""/>
      <w:lvlJc w:val="left"/>
      <w:pPr>
        <w:ind w:left="5041" w:hanging="420"/>
      </w:pPr>
      <w:rPr>
        <w:rFonts w:hint="default" w:ascii="Wingdings" w:hAnsi="Wingdings"/>
      </w:rPr>
    </w:lvl>
    <w:lvl w:ilvl="8" w:tentative="0">
      <w:start w:val="1"/>
      <w:numFmt w:val="bullet"/>
      <w:lvlText w:val=""/>
      <w:lvlJc w:val="left"/>
      <w:pPr>
        <w:ind w:left="5461"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F6711"/>
    <w:rsid w:val="14AF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2020-01-13T02:28:00Z</dcterms:created>
  <dc:creator>桑立强</dc:creator>
  <cp:lastModifiedBy>桑立强</cp:lastModifiedBy>
  <dcterms:modified xsi:type="dcterms:W3CDTF">2020-01-13T02:28:54Z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