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ind w:left="630" w:leftChars="300" w:firstLine="1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2020年《政府会计准则制度实操、内部控制实施优化与预算绩效评价、成本会计和国有资产管理实务操作系列培训班》专题介绍</w:t>
      </w:r>
    </w:p>
    <w:p>
      <w:pPr>
        <w:spacing w:before="312" w:beforeLines="100" w:after="156" w:afterLines="50" w:line="480" w:lineRule="exact"/>
        <w:ind w:firstLine="413" w:firstLineChars="147"/>
        <w:rPr>
          <w:rFonts w:ascii="仿宋_GB2312" w:hAnsi="Calibri" w:eastAsia="仿宋_GB2312"/>
          <w:b/>
          <w:w w:val="80"/>
          <w:kern w:val="0"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专题一：</w:t>
      </w:r>
      <w:r>
        <w:rPr>
          <w:rFonts w:hint="eastAsia" w:ascii="仿宋_GB2312" w:hAnsi="Calibri" w:eastAsia="仿宋_GB2312"/>
          <w:b/>
          <w:w w:val="80"/>
          <w:kern w:val="0"/>
          <w:sz w:val="28"/>
          <w:szCs w:val="28"/>
        </w:rPr>
        <w:t>政府会计准则制度实操难点、具体账务处理案例与内部控制实施和优化专题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413" w:firstLineChars="147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课程内容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1、政府会计准则具体应用及最新进展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政府会计准则第1号-10号应用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 xml:space="preserve"> 政府会计准则制度解释第1号、2号应用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准则制定最新进展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2、《政府会计制度》报表重点内容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Cs/>
          <w:sz w:val="28"/>
          <w:szCs w:val="28"/>
        </w:rPr>
        <w:t>财务会计报表和预算报表编制难点与举例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《现金流量表》编制技巧与举例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《当期盈佘与预算结余差异表项目》编制技巧与差异事项举例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3、《政府会计制度》平行记账难点与案例分析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(1)平行记账总结与综合应用归纳分析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重点科目核算举例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库存现金和银行存款平行记账应用示范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零余额账户用款额度平行记账应用示范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财政应返还额度平行记账应用示范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往来账款核算举例与坏账准备核算举例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5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⑤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待摊费用与预提费用的核算区别举例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(3)难点总结分析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4、具体账务处理案例合集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5、行政事业单位内部控制</w:t>
      </w:r>
      <w:r>
        <w:rPr>
          <w:rFonts w:hint="eastAsia" w:ascii="仿宋_GB2312" w:hAnsi="Calibri" w:eastAsia="仿宋_GB2312"/>
          <w:b/>
          <w:sz w:val="28"/>
          <w:szCs w:val="28"/>
        </w:rPr>
        <w:t>实施和优化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组织机构内控设计与优化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议事决策机制的内控设计与优化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关键岗位及其人员权责分配设计与优化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会计控制设计与优化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具体业务层面内控实施与优化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6、行政事业单位内部控制评价报告编写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行政事业单位内部控制评价报告编写要点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行政事业单位内控报告各指标的评价与填列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行政事业单位内部控制报告编写常见难点问题解答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不同行业事业单位内控评价特殊性分析</w:t>
      </w:r>
    </w:p>
    <w:p>
      <w:pPr>
        <w:tabs>
          <w:tab w:val="left" w:pos="1620"/>
          <w:tab w:val="left" w:pos="1800"/>
        </w:tabs>
        <w:spacing w:before="93" w:beforeLines="30" w:after="93" w:afterLines="30" w:line="520" w:lineRule="exact"/>
        <w:ind w:firstLine="413" w:firstLineChars="147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 xml:space="preserve">专题二: </w:t>
      </w:r>
      <w:r>
        <w:rPr>
          <w:rFonts w:hint="eastAsia" w:ascii="仿宋_GB2312" w:hAnsi="Calibri" w:eastAsia="仿宋_GB2312"/>
          <w:b/>
          <w:w w:val="80"/>
          <w:kern w:val="0"/>
          <w:sz w:val="28"/>
          <w:szCs w:val="28"/>
        </w:rPr>
        <w:t>实施预算绩效管理暨预算（投资）评审、绩效评价与成本会计实务操作专题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1、行政事业单位全面实施预算绩效管理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《中共中央 国务院关于全面实施预算绩效管理的意见》解析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全面实施预算绩效管理的重要意义、预算绩效管理的重点环节、绩效管理监督问责、工作协调机制等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预算（投资）评审工作操作实务与案例分析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预算（投资）评审工作操作实务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预算（投资）评审工作案例分析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预算（投资）工作中疑难问题与跟踪评审关键技术操作</w:t>
      </w:r>
    </w:p>
    <w:p>
      <w:pPr>
        <w:widowControl/>
        <w:ind w:left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财政支出绩效评价实务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绩效指标体系设计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绩效评价数据来源及标准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财政支出绩效评价操作案例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项目单位财政支出项目绩效评价案例及经验分享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地方财政绩效评价案例及经验分享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中央部门财政支出绩效评价案例及经验分享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绩效评价报告编写技巧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绩效评价报告编写中容易出现的共性问题归纳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绩效评价报告编写的过程与要求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2、《事业单位成本核算基本指引》解析与成本会计实务操作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《事业单位成本核算基本指引》解析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政府成本会计核算主要问题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政府成本控制与成本管理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政府成本核算与成本管理实务案例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政府成本会计面临挑战与应对</w:t>
      </w:r>
    </w:p>
    <w:p>
      <w:pPr>
        <w:tabs>
          <w:tab w:val="left" w:pos="1620"/>
          <w:tab w:val="left" w:pos="1800"/>
        </w:tabs>
        <w:ind w:firstLine="413" w:firstLineChars="147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专题三：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行政事业单位国有资产管理实务操作与政府会计改革专题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1、政府会计改革最新动态解析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2、国有资产相关法规与资产配置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 xml:space="preserve"> 《中央行政事业单位国有资产配置管理办法》解析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ascii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2019年《事业单位国有资产管理暂行办法》修改内容应用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资产配置原则、流程、方式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 资产取得计价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 资产取得账务处理</w:t>
      </w:r>
    </w:p>
    <w:p>
      <w:pPr>
        <w:ind w:firstLine="560"/>
        <w:rPr>
          <w:rFonts w:ascii="仿宋_GB2312" w:cs="仿宋_GB2312"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3、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资产使用管理与核算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资产使用分类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固定资产管理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固定资产后续支出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固定资产累计折旧核算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(3)国有资产出租出借</w:t>
      </w:r>
    </w:p>
    <w:p>
      <w:pPr>
        <w:ind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4、资产处置管理与核算</w:t>
      </w:r>
    </w:p>
    <w:p>
      <w:pPr>
        <w:ind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5、资产清查核实与核算</w:t>
      </w:r>
    </w:p>
    <w:p>
      <w:pPr>
        <w:ind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6、资产报告编报实例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7、《政府会计制度》平行记账难点与案例分析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财务会计报表和预算报表编制难点与举例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《现金流量表》编制技巧与举例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《当期盈佘与预算结余差异表项目》编制技巧与差异事项举例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(4)重点科目核算举例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</w:t>
      </w:r>
      <w:r>
        <w:rPr>
          <w:rFonts w:hint="eastAsia" w:ascii="仿宋_GB2312" w:eastAsia="仿宋_GB2312" w:cs="仿宋_GB2312"/>
          <w:bCs/>
          <w:sz w:val="28"/>
          <w:szCs w:val="28"/>
        </w:rPr>
        <w:t>具体账务处理案例合集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8、财政电子票据管理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(1)财政部《关于全面推开财政电子票据管理改革的通知》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(2)财政电子票据管理操作及流程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eastAsia="仿宋_GB2312" w:asciiTheme="minorHAnsi" w:hAnsiTheme="minorHAnsi"/>
          <w:b/>
          <w:sz w:val="28"/>
          <w:szCs w:val="28"/>
          <w:highlight w:val="none"/>
        </w:rPr>
      </w:pPr>
      <w:r>
        <w:rPr>
          <w:rFonts w:hint="eastAsia" w:ascii="仿宋_GB2312" w:hAnsi="Calibri" w:eastAsia="仿宋_GB2312"/>
          <w:b/>
          <w:sz w:val="28"/>
          <w:szCs w:val="28"/>
          <w:highlight w:val="none"/>
        </w:rPr>
        <w:t>9</w:t>
      </w:r>
      <w:r>
        <w:rPr>
          <w:rFonts w:hint="eastAsia" w:eastAsia="仿宋_GB2312" w:asciiTheme="minorHAnsi" w:hAnsiTheme="minorHAnsi"/>
          <w:b/>
          <w:sz w:val="28"/>
          <w:szCs w:val="28"/>
          <w:highlight w:val="none"/>
        </w:rPr>
        <w:t>、政府采购实务</w:t>
      </w:r>
    </w:p>
    <w:p>
      <w:pPr>
        <w:ind w:firstLine="560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(1)财政部《政府采购信息发布管理办法》修订解析</w:t>
      </w:r>
    </w:p>
    <w:p>
      <w:pPr>
        <w:ind w:firstLine="560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z w:val="28"/>
          <w:szCs w:val="28"/>
          <w:highlight w:val="none"/>
        </w:rPr>
        <w:t>(2)发改委《中华人民共和国招标投标法》修订解析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  <w:highlight w:val="none"/>
        </w:rPr>
      </w:pPr>
      <w:r>
        <w:rPr>
          <w:rFonts w:ascii="仿宋_GB2312" w:eastAsia="仿宋_GB2312" w:cs="仿宋_GB2312"/>
          <w:sz w:val="28"/>
          <w:szCs w:val="28"/>
          <w:highlight w:val="none"/>
        </w:rPr>
        <w:t>(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</w:t>
      </w:r>
      <w:r>
        <w:rPr>
          <w:rFonts w:ascii="仿宋_GB2312" w:eastAsia="仿宋_GB2312" w:cs="仿宋_GB2312"/>
          <w:sz w:val="28"/>
          <w:szCs w:val="28"/>
          <w:highlight w:val="none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  <w:highlight w:val="none"/>
        </w:rPr>
        <w:t>政府采购招投标实务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810F8"/>
    <w:rsid w:val="590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2020-01-13T02:17:00Z</dcterms:created>
  <dc:creator>桑立强</dc:creator>
  <cp:lastModifiedBy>桑立强</cp:lastModifiedBy>
  <dcterms:modified xsi:type="dcterms:W3CDTF">2020-01-13T02:18:19Z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